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keepNext w:val="0"/>
        <w:keepLines w:val="0"/>
        <w:pageBreakBefore w:val="0"/>
        <w:kinsoku/>
        <w:wordWrap/>
        <w:overflowPunct/>
        <w:topLinePunct w:val="0"/>
        <w:autoSpaceDE/>
        <w:autoSpaceDN/>
        <w:bidi w:val="0"/>
        <w:snapToGrid/>
        <w:spacing w:before="0" w:after="0" w:line="560" w:lineRule="exact"/>
        <w:jc w:val="left"/>
        <w:rPr>
          <w:rFonts w:hint="eastAsia" w:ascii="仿宋_GB2312" w:hAnsi="仿宋_GB2312" w:eastAsia="仿宋_GB2312" w:cs="仿宋_GB2312"/>
          <w:sz w:val="28"/>
          <w:szCs w:val="28"/>
          <w:lang w:eastAsia="zh-CN"/>
        </w:rPr>
      </w:pPr>
      <w:bookmarkStart w:id="0" w:name="_GoBack"/>
      <w:bookmarkEnd w:id="0"/>
      <w:r>
        <w:rPr>
          <w:rFonts w:hint="eastAsia" w:ascii="仿宋_GB2312" w:hAnsi="仿宋_GB2312" w:eastAsia="仿宋_GB2312" w:cs="仿宋_GB2312"/>
          <w:sz w:val="28"/>
          <w:szCs w:val="28"/>
          <w:lang w:eastAsia="zh-CN"/>
        </w:rPr>
        <w:t>附件：</w:t>
      </w:r>
    </w:p>
    <w:p>
      <w:pPr>
        <w:pStyle w:val="10"/>
        <w:keepNext w:val="0"/>
        <w:keepLines w:val="0"/>
        <w:pageBreakBefore w:val="0"/>
        <w:kinsoku/>
        <w:wordWrap/>
        <w:overflowPunct/>
        <w:topLinePunct w:val="0"/>
        <w:autoSpaceDE/>
        <w:autoSpaceDN/>
        <w:bidi w:val="0"/>
        <w:snapToGrid/>
        <w:spacing w:before="0" w:after="0" w:line="560" w:lineRule="exact"/>
        <w:rPr>
          <w:rFonts w:hint="eastAsia" w:ascii="黑体" w:hAnsi="黑体" w:eastAsia="黑体" w:cs="黑体"/>
          <w:sz w:val="44"/>
          <w:szCs w:val="44"/>
          <w:lang w:eastAsia="zh-CN"/>
        </w:rPr>
      </w:pPr>
      <w:r>
        <w:rPr>
          <w:rFonts w:hint="eastAsia" w:ascii="方正小标宋简体" w:hAnsi="方正小标宋简体" w:eastAsia="方正小标宋简体" w:cs="方正小标宋简体"/>
          <w:sz w:val="40"/>
          <w:szCs w:val="40"/>
          <w:lang w:eastAsia="zh-CN"/>
        </w:rPr>
        <w:t>采购需求</w:t>
      </w:r>
    </w:p>
    <w:p>
      <w:pPr>
        <w:pStyle w:val="3"/>
        <w:keepNext w:val="0"/>
        <w:keepLines w:val="0"/>
        <w:pageBreakBefore w:val="0"/>
        <w:widowControl w:val="0"/>
        <w:numPr>
          <w:ilvl w:val="0"/>
          <w:numId w:val="0"/>
        </w:numPr>
        <w:tabs>
          <w:tab w:val="left" w:pos="360"/>
        </w:tabs>
        <w:kinsoku/>
        <w:wordWrap/>
        <w:overflowPunct/>
        <w:topLinePunct w:val="0"/>
        <w:autoSpaceDE/>
        <w:autoSpaceDN/>
        <w:bidi w:val="0"/>
        <w:snapToGrid/>
        <w:spacing w:before="0" w:after="0" w:line="500" w:lineRule="exact"/>
        <w:ind w:leftChars="0" w:firstLine="560" w:firstLineChars="200"/>
        <w:jc w:val="both"/>
        <w:rPr>
          <w:rFonts w:hint="default" w:ascii="Times New Roman" w:hAnsi="Times New Roman" w:eastAsia="仿宋_GB2312" w:cs="Times New Roman"/>
          <w:sz w:val="28"/>
          <w:szCs w:val="28"/>
          <w:lang w:val="en-US" w:eastAsia="zh-CN"/>
        </w:rPr>
      </w:pPr>
      <w:r>
        <w:rPr>
          <w:rFonts w:hint="eastAsia" w:ascii="CESI黑体-GB2312" w:hAnsi="CESI黑体-GB2312" w:eastAsia="CESI黑体-GB2312" w:cs="CESI黑体-GB2312"/>
          <w:b w:val="0"/>
          <w:bCs w:val="0"/>
          <w:sz w:val="28"/>
          <w:szCs w:val="28"/>
          <w:lang w:val="en-US" w:eastAsia="zh-CN"/>
        </w:rPr>
        <w:t>一、项目概况</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left="0" w:right="0" w:firstLine="560" w:firstLineChars="200"/>
        <w:textAlignment w:val="auto"/>
        <w:rPr>
          <w:rFonts w:hint="eastAsia" w:ascii="仿宋_GB2312" w:hAnsi="仿宋_GB2312" w:eastAsia="仿宋_GB2312" w:cs="仿宋_GB2312"/>
          <w:b w:val="0"/>
          <w:bCs w:val="0"/>
          <w:kern w:val="0"/>
          <w:sz w:val="28"/>
          <w:szCs w:val="28"/>
          <w:lang w:val="en-US" w:eastAsia="zh-CN" w:bidi="ar-SA"/>
        </w:rPr>
      </w:pPr>
      <w:r>
        <w:rPr>
          <w:rFonts w:hint="eastAsia" w:ascii="仿宋_GB2312" w:hAnsi="仿宋_GB2312" w:eastAsia="仿宋_GB2312" w:cs="仿宋_GB2312"/>
          <w:b w:val="0"/>
          <w:bCs w:val="0"/>
          <w:kern w:val="0"/>
          <w:sz w:val="28"/>
          <w:szCs w:val="28"/>
          <w:lang w:val="en-US" w:eastAsia="zh-CN" w:bidi="ar-SA"/>
        </w:rPr>
        <w:t>区生态环境局牵头启动本区新一轮预案评估修订工作（现行《松江区突发环境事件应急预案（2023版）》于2023年9月印发），于2026年12月底前完成区级突发生态环境事件应急预案评估修订工作。此次评估修订旨在健全本区突发生态环境事件应急处置机制，切实提升风险防范化解与应对能力，全力保障区域环境安全。</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left="0" w:right="0" w:firstLine="560" w:firstLineChars="200"/>
        <w:textAlignment w:val="auto"/>
        <w:rPr>
          <w:rFonts w:hint="eastAsia" w:ascii="仿宋_GB2312" w:hAnsi="仿宋_GB2312" w:eastAsia="仿宋_GB2312" w:cs="仿宋_GB2312"/>
          <w:b w:val="0"/>
          <w:bCs w:val="0"/>
          <w:kern w:val="0"/>
          <w:sz w:val="28"/>
          <w:szCs w:val="28"/>
          <w:lang w:val="en-US" w:eastAsia="zh-CN" w:bidi="ar-SA"/>
        </w:rPr>
      </w:pPr>
      <w:r>
        <w:rPr>
          <w:rFonts w:hint="eastAsia" w:ascii="CESI黑体-GB2312" w:hAnsi="CESI黑体-GB2312" w:eastAsia="CESI黑体-GB2312" w:cs="CESI黑体-GB2312"/>
          <w:b w:val="0"/>
          <w:bCs w:val="0"/>
          <w:sz w:val="28"/>
          <w:szCs w:val="28"/>
          <w:lang w:val="en-US" w:eastAsia="zh-CN"/>
        </w:rPr>
        <w:t>二、服务</w:t>
      </w:r>
      <w:r>
        <w:rPr>
          <w:rFonts w:hint="default" w:ascii="CESI黑体-GB2312" w:hAnsi="CESI黑体-GB2312" w:eastAsia="CESI黑体-GB2312" w:cs="CESI黑体-GB2312"/>
          <w:b w:val="0"/>
          <w:bCs w:val="0"/>
          <w:sz w:val="28"/>
          <w:szCs w:val="28"/>
          <w:lang w:val="en-US" w:eastAsia="zh-CN"/>
        </w:rPr>
        <w:t>内容</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left="0" w:right="0" w:firstLine="560" w:firstLineChars="200"/>
        <w:textAlignment w:val="auto"/>
        <w:rPr>
          <w:rFonts w:hint="eastAsia" w:ascii="仿宋_GB2312" w:hAnsi="仿宋_GB2312" w:eastAsia="仿宋_GB2312" w:cs="仿宋_GB2312"/>
          <w:b w:val="0"/>
          <w:bCs w:val="0"/>
          <w:kern w:val="0"/>
          <w:sz w:val="28"/>
          <w:szCs w:val="28"/>
          <w:lang w:val="en-US" w:eastAsia="zh-CN" w:bidi="ar-SA"/>
        </w:rPr>
      </w:pPr>
      <w:r>
        <w:rPr>
          <w:rFonts w:hint="eastAsia" w:ascii="仿宋_GB2312" w:hAnsi="仿宋_GB2312" w:eastAsia="仿宋_GB2312" w:cs="仿宋_GB2312"/>
          <w:b w:val="0"/>
          <w:bCs w:val="0"/>
          <w:kern w:val="0"/>
          <w:sz w:val="28"/>
          <w:szCs w:val="28"/>
          <w:lang w:val="en-US" w:eastAsia="zh-CN" w:bidi="ar-SA"/>
        </w:rPr>
        <w:t>根据国家相关法律法规和技术指南要求，评估修订松江区突发生态环境事件应急预案，具体包括完成现场调查、环境风险评估、应急资源调查、案例分析报告、预案评估情况报告、预案文本及编制说明、专家评审及配合完成报批备案。</w:t>
      </w:r>
    </w:p>
    <w:p>
      <w:pPr>
        <w:pStyle w:val="3"/>
        <w:keepNext w:val="0"/>
        <w:keepLines w:val="0"/>
        <w:pageBreakBefore w:val="0"/>
        <w:widowControl w:val="0"/>
        <w:numPr>
          <w:ilvl w:val="0"/>
          <w:numId w:val="0"/>
        </w:numPr>
        <w:tabs>
          <w:tab w:val="left" w:pos="360"/>
        </w:tabs>
        <w:kinsoku/>
        <w:wordWrap/>
        <w:overflowPunct/>
        <w:topLinePunct w:val="0"/>
        <w:autoSpaceDE/>
        <w:autoSpaceDN/>
        <w:bidi w:val="0"/>
        <w:snapToGrid/>
        <w:spacing w:before="0" w:after="0" w:line="500" w:lineRule="exact"/>
        <w:ind w:leftChars="0" w:firstLine="560" w:firstLineChars="200"/>
        <w:jc w:val="both"/>
        <w:rPr>
          <w:rFonts w:hint="default" w:ascii="CESI黑体-GB2312" w:hAnsi="CESI黑体-GB2312" w:eastAsia="CESI黑体-GB2312" w:cs="CESI黑体-GB2312"/>
          <w:b w:val="0"/>
          <w:bCs w:val="0"/>
          <w:sz w:val="28"/>
          <w:szCs w:val="28"/>
          <w:lang w:val="en-US" w:eastAsia="zh-CN"/>
        </w:rPr>
      </w:pPr>
      <w:r>
        <w:rPr>
          <w:rFonts w:hint="eastAsia" w:ascii="CESI黑体-GB2312" w:hAnsi="CESI黑体-GB2312" w:eastAsia="CESI黑体-GB2312" w:cs="CESI黑体-GB2312"/>
          <w:b w:val="0"/>
          <w:bCs w:val="0"/>
          <w:sz w:val="28"/>
          <w:szCs w:val="28"/>
          <w:lang w:val="en-US" w:eastAsia="zh-CN"/>
        </w:rPr>
        <w:t>三、基本要求</w:t>
      </w:r>
    </w:p>
    <w:p>
      <w:pPr>
        <w:pStyle w:val="5"/>
        <w:keepNext w:val="0"/>
        <w:keepLines w:val="0"/>
        <w:pageBreakBefore w:val="0"/>
        <w:widowControl w:val="0"/>
        <w:numPr>
          <w:ilvl w:val="0"/>
          <w:numId w:val="0"/>
        </w:numPr>
        <w:kinsoku/>
        <w:wordWrap/>
        <w:overflowPunct/>
        <w:topLinePunct w:val="0"/>
        <w:autoSpaceDE/>
        <w:autoSpaceDN/>
        <w:bidi w:val="0"/>
        <w:adjustRightInd w:val="0"/>
        <w:snapToGrid/>
        <w:spacing w:line="500" w:lineRule="exact"/>
        <w:ind w:leftChars="0" w:firstLine="560" w:firstLineChars="200"/>
        <w:jc w:val="both"/>
        <w:textAlignment w:val="baseline"/>
        <w:rPr>
          <w:rFonts w:hint="default" w:ascii="Times New Roman" w:hAnsi="Times New Roman" w:eastAsia="仿宋_GB2312" w:cs="Times New Roman"/>
          <w:sz w:val="28"/>
          <w:szCs w:val="28"/>
          <w:highlight w:val="none"/>
          <w:lang w:val="en-US" w:eastAsia="zh-CN"/>
        </w:rPr>
      </w:pPr>
      <w:r>
        <w:rPr>
          <w:rFonts w:hint="eastAsia" w:ascii="仿宋_GB2312" w:hAnsi="仿宋_GB2312" w:eastAsia="仿宋_GB2312" w:cs="仿宋_GB2312"/>
          <w:sz w:val="28"/>
          <w:szCs w:val="28"/>
          <w:highlight w:val="none"/>
          <w:lang w:val="en-US" w:eastAsia="zh-CN"/>
        </w:rPr>
        <w:t>1.</w:t>
      </w:r>
      <w:r>
        <w:rPr>
          <w:rFonts w:hint="default" w:ascii="Times New Roman" w:hAnsi="Times New Roman" w:eastAsia="仿宋_GB2312" w:cs="Times New Roman"/>
          <w:sz w:val="28"/>
          <w:szCs w:val="28"/>
          <w:highlight w:val="none"/>
          <w:lang w:val="en-US" w:eastAsia="zh-CN"/>
        </w:rPr>
        <w:t>需配备专业团队</w:t>
      </w:r>
      <w:r>
        <w:rPr>
          <w:rFonts w:hint="eastAsia" w:eastAsia="仿宋_GB2312" w:cs="Times New Roman"/>
          <w:sz w:val="28"/>
          <w:szCs w:val="28"/>
          <w:highlight w:val="none"/>
          <w:lang w:val="en-US" w:eastAsia="zh-CN"/>
        </w:rPr>
        <w:t>开展</w:t>
      </w:r>
      <w:r>
        <w:rPr>
          <w:rFonts w:hint="default" w:ascii="Times New Roman" w:hAnsi="Times New Roman" w:eastAsia="仿宋_GB2312" w:cs="Times New Roman"/>
          <w:sz w:val="28"/>
          <w:szCs w:val="28"/>
          <w:highlight w:val="none"/>
          <w:lang w:val="en-US" w:eastAsia="zh-CN"/>
        </w:rPr>
        <w:t>工作</w:t>
      </w:r>
      <w:r>
        <w:rPr>
          <w:rFonts w:hint="eastAsia" w:eastAsia="仿宋_GB2312" w:cs="Times New Roman"/>
          <w:sz w:val="28"/>
          <w:szCs w:val="28"/>
          <w:highlight w:val="none"/>
          <w:lang w:val="en-US" w:eastAsia="zh-CN"/>
        </w:rPr>
        <w:t>，具有履行项目所必需的专业能力，确保新修订的预案符合上位法要求、与本区实际相符、与相关预案协调衔接</w:t>
      </w:r>
      <w:r>
        <w:rPr>
          <w:rFonts w:hint="default" w:ascii="Times New Roman" w:hAnsi="Times New Roman" w:eastAsia="仿宋_GB2312" w:cs="Times New Roman"/>
          <w:sz w:val="28"/>
          <w:szCs w:val="28"/>
          <w:highlight w:val="none"/>
          <w:lang w:val="en-US" w:eastAsia="zh-CN"/>
        </w:rPr>
        <w:t>；</w:t>
      </w:r>
    </w:p>
    <w:p>
      <w:pPr>
        <w:pStyle w:val="5"/>
        <w:keepNext w:val="0"/>
        <w:keepLines w:val="0"/>
        <w:pageBreakBefore w:val="0"/>
        <w:widowControl w:val="0"/>
        <w:numPr>
          <w:ilvl w:val="0"/>
          <w:numId w:val="0"/>
        </w:numPr>
        <w:kinsoku/>
        <w:wordWrap/>
        <w:overflowPunct/>
        <w:topLinePunct w:val="0"/>
        <w:autoSpaceDE/>
        <w:autoSpaceDN/>
        <w:bidi w:val="0"/>
        <w:adjustRightInd w:val="0"/>
        <w:snapToGrid/>
        <w:spacing w:line="500" w:lineRule="exact"/>
        <w:ind w:leftChars="0" w:firstLine="560" w:firstLineChars="200"/>
        <w:jc w:val="both"/>
        <w:textAlignment w:val="baseline"/>
        <w:rPr>
          <w:rFonts w:hint="default" w:ascii="Times New Roman" w:hAnsi="Times New Roman" w:eastAsia="仿宋_GB2312" w:cs="Times New Roman"/>
          <w:sz w:val="28"/>
          <w:szCs w:val="28"/>
          <w:highlight w:val="none"/>
          <w:lang w:val="en-US" w:eastAsia="zh-CN"/>
        </w:rPr>
      </w:pPr>
      <w:r>
        <w:rPr>
          <w:rFonts w:hint="eastAsia" w:ascii="仿宋_GB2312" w:hAnsi="仿宋_GB2312" w:eastAsia="仿宋_GB2312" w:cs="仿宋_GB2312"/>
          <w:sz w:val="28"/>
          <w:szCs w:val="28"/>
          <w:highlight w:val="none"/>
          <w:lang w:val="en-US" w:eastAsia="zh-CN"/>
        </w:rPr>
        <w:t>2.</w:t>
      </w:r>
      <w:r>
        <w:rPr>
          <w:rFonts w:hint="default" w:ascii="Times New Roman" w:hAnsi="Times New Roman" w:eastAsia="仿宋_GB2312" w:cs="Times New Roman"/>
          <w:sz w:val="28"/>
          <w:szCs w:val="28"/>
          <w:highlight w:val="none"/>
          <w:lang w:val="en-US" w:eastAsia="zh-CN"/>
        </w:rPr>
        <w:t>需对</w:t>
      </w:r>
      <w:r>
        <w:rPr>
          <w:rFonts w:hint="eastAsia" w:eastAsia="仿宋_GB2312" w:cs="Times New Roman"/>
          <w:sz w:val="28"/>
          <w:szCs w:val="28"/>
          <w:highlight w:val="none"/>
          <w:lang w:val="en-US" w:eastAsia="zh-CN"/>
        </w:rPr>
        <w:t>本项目的相关数据信息、</w:t>
      </w:r>
      <w:r>
        <w:rPr>
          <w:rFonts w:hint="default" w:ascii="Times New Roman" w:hAnsi="Times New Roman" w:eastAsia="仿宋_GB2312" w:cs="Times New Roman"/>
          <w:sz w:val="28"/>
          <w:szCs w:val="28"/>
          <w:highlight w:val="none"/>
          <w:lang w:val="en-US" w:eastAsia="zh-CN"/>
        </w:rPr>
        <w:t>涉及</w:t>
      </w:r>
      <w:r>
        <w:rPr>
          <w:rFonts w:hint="eastAsia" w:eastAsia="仿宋_GB2312" w:cs="Times New Roman"/>
          <w:sz w:val="28"/>
          <w:szCs w:val="28"/>
          <w:highlight w:val="none"/>
          <w:lang w:val="en-US" w:eastAsia="zh-CN"/>
        </w:rPr>
        <w:t>单位</w:t>
      </w:r>
      <w:r>
        <w:rPr>
          <w:rFonts w:hint="default" w:ascii="Times New Roman" w:hAnsi="Times New Roman" w:eastAsia="仿宋_GB2312" w:cs="Times New Roman"/>
          <w:sz w:val="28"/>
          <w:szCs w:val="28"/>
          <w:highlight w:val="none"/>
          <w:lang w:val="en-US" w:eastAsia="zh-CN"/>
        </w:rPr>
        <w:t>的相关信息</w:t>
      </w:r>
      <w:r>
        <w:rPr>
          <w:rFonts w:hint="eastAsia" w:eastAsia="仿宋_GB2312" w:cs="Times New Roman"/>
          <w:sz w:val="28"/>
          <w:szCs w:val="28"/>
          <w:highlight w:val="none"/>
          <w:lang w:val="en-US" w:eastAsia="zh-CN"/>
        </w:rPr>
        <w:t>等内容</w:t>
      </w:r>
      <w:r>
        <w:rPr>
          <w:rFonts w:hint="default" w:ascii="Times New Roman" w:hAnsi="Times New Roman" w:eastAsia="仿宋_GB2312" w:cs="Times New Roman"/>
          <w:sz w:val="28"/>
          <w:szCs w:val="28"/>
          <w:highlight w:val="none"/>
          <w:lang w:val="en-US" w:eastAsia="zh-CN"/>
        </w:rPr>
        <w:t>保密；</w:t>
      </w:r>
    </w:p>
    <w:p>
      <w:pPr>
        <w:pStyle w:val="5"/>
        <w:keepNext w:val="0"/>
        <w:keepLines w:val="0"/>
        <w:pageBreakBefore w:val="0"/>
        <w:widowControl w:val="0"/>
        <w:numPr>
          <w:ilvl w:val="0"/>
          <w:numId w:val="0"/>
        </w:numPr>
        <w:kinsoku/>
        <w:wordWrap/>
        <w:overflowPunct/>
        <w:topLinePunct w:val="0"/>
        <w:autoSpaceDE/>
        <w:autoSpaceDN/>
        <w:bidi w:val="0"/>
        <w:adjustRightInd w:val="0"/>
        <w:snapToGrid/>
        <w:spacing w:line="500" w:lineRule="exact"/>
        <w:ind w:leftChars="0" w:firstLine="560" w:firstLineChars="200"/>
        <w:jc w:val="both"/>
        <w:textAlignment w:val="baseline"/>
        <w:rPr>
          <w:rFonts w:hint="default" w:ascii="Times New Roman" w:hAnsi="Times New Roman" w:eastAsia="仿宋_GB2312" w:cs="Times New Roman"/>
          <w:sz w:val="28"/>
          <w:szCs w:val="28"/>
          <w:highlight w:val="none"/>
          <w:lang w:val="en-US" w:eastAsia="zh-CN"/>
        </w:rPr>
      </w:pPr>
      <w:r>
        <w:rPr>
          <w:rFonts w:hint="eastAsia" w:ascii="仿宋_GB2312" w:hAnsi="仿宋_GB2312" w:eastAsia="仿宋_GB2312" w:cs="仿宋_GB2312"/>
          <w:sz w:val="28"/>
          <w:szCs w:val="28"/>
          <w:highlight w:val="none"/>
          <w:lang w:val="en-US" w:eastAsia="zh-CN"/>
        </w:rPr>
        <w:t>3.按时</w:t>
      </w:r>
      <w:r>
        <w:rPr>
          <w:rFonts w:hint="eastAsia" w:eastAsia="仿宋_GB2312" w:cs="Times New Roman"/>
          <w:sz w:val="28"/>
          <w:szCs w:val="28"/>
          <w:highlight w:val="none"/>
          <w:lang w:val="en-US" w:eastAsia="zh-CN"/>
        </w:rPr>
        <w:t>提交项目成果，</w:t>
      </w:r>
      <w:r>
        <w:rPr>
          <w:rFonts w:hint="default" w:ascii="Times New Roman" w:hAnsi="Times New Roman" w:eastAsia="仿宋_GB2312" w:cs="Times New Roman"/>
          <w:sz w:val="28"/>
          <w:szCs w:val="28"/>
          <w:highlight w:val="none"/>
          <w:lang w:val="en-US" w:eastAsia="zh-CN"/>
        </w:rPr>
        <w:t>根据《松江区生态环境局购买服务项目考核及绩效评价管理办法》开展考核并支付服务费</w:t>
      </w:r>
      <w:r>
        <w:rPr>
          <w:rFonts w:hint="eastAsia" w:eastAsia="仿宋_GB2312" w:cs="Times New Roman"/>
          <w:sz w:val="28"/>
          <w:szCs w:val="28"/>
          <w:highlight w:val="none"/>
          <w:lang w:val="en-US" w:eastAsia="zh-CN"/>
        </w:rPr>
        <w:t>。项目成果包括并不仅限于：《松江区突发生态环境事件应急预案》、《松江区突发生态环境事件应急预案编制说明》、《松江区突发生态环境事件应急预案》评估情况报告等电子版成果资料</w:t>
      </w:r>
      <w:r>
        <w:rPr>
          <w:rFonts w:hint="default" w:ascii="Times New Roman" w:hAnsi="Times New Roman" w:eastAsia="仿宋_GB2312" w:cs="Times New Roman"/>
          <w:sz w:val="28"/>
          <w:szCs w:val="28"/>
          <w:highlight w:val="none"/>
          <w:lang w:val="en-US" w:eastAsia="zh-CN"/>
        </w:rPr>
        <w:t>。</w:t>
      </w:r>
    </w:p>
    <w:p>
      <w:pPr>
        <w:pStyle w:val="3"/>
        <w:keepNext w:val="0"/>
        <w:keepLines w:val="0"/>
        <w:pageBreakBefore w:val="0"/>
        <w:widowControl w:val="0"/>
        <w:numPr>
          <w:ilvl w:val="0"/>
          <w:numId w:val="0"/>
        </w:numPr>
        <w:tabs>
          <w:tab w:val="left" w:pos="360"/>
        </w:tabs>
        <w:kinsoku/>
        <w:wordWrap/>
        <w:overflowPunct/>
        <w:topLinePunct w:val="0"/>
        <w:autoSpaceDE/>
        <w:autoSpaceDN/>
        <w:bidi w:val="0"/>
        <w:snapToGrid/>
        <w:spacing w:before="0" w:after="0" w:line="500" w:lineRule="exact"/>
        <w:ind w:leftChars="0" w:firstLine="560" w:firstLineChars="200"/>
        <w:jc w:val="both"/>
        <w:rPr>
          <w:rFonts w:hint="eastAsia" w:ascii="仿宋_GB2312" w:hAnsi="仿宋_GB2312" w:eastAsia="仿宋_GB2312" w:cs="仿宋_GB2312"/>
          <w:sz w:val="28"/>
          <w:szCs w:val="28"/>
          <w:highlight w:val="none"/>
          <w:lang w:val="en-US" w:eastAsia="zh-CN"/>
        </w:rPr>
      </w:pPr>
      <w:r>
        <w:rPr>
          <w:rFonts w:hint="eastAsia" w:ascii="CESI黑体-GB2312" w:hAnsi="CESI黑体-GB2312" w:eastAsia="CESI黑体-GB2312" w:cs="CESI黑体-GB2312"/>
          <w:b w:val="0"/>
          <w:bCs w:val="0"/>
          <w:sz w:val="28"/>
          <w:szCs w:val="28"/>
          <w:highlight w:val="none"/>
          <w:lang w:val="en-US" w:eastAsia="zh-CN"/>
        </w:rPr>
        <w:t>四、服务期限</w:t>
      </w:r>
    </w:p>
    <w:p>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_GB2312" w:hAnsi="仿宋_GB2312" w:eastAsia="仿宋_GB2312" w:cs="仿宋_GB2312"/>
          <w:sz w:val="28"/>
          <w:szCs w:val="28"/>
          <w:highlight w:val="none"/>
          <w:lang w:val="en-US" w:eastAsia="zh-CN"/>
        </w:rPr>
      </w:pPr>
      <w:r>
        <w:rPr>
          <w:rFonts w:hint="eastAsia" w:ascii="仿宋_GB2312" w:hAnsi="Calibri" w:eastAsia="仿宋_GB2312"/>
          <w:bCs/>
          <w:sz w:val="28"/>
          <w:szCs w:val="28"/>
          <w:highlight w:val="none"/>
        </w:rPr>
        <w:t>自项目合同签订之日起</w:t>
      </w:r>
      <w:r>
        <w:rPr>
          <w:rFonts w:hint="eastAsia" w:ascii="仿宋_GB2312" w:hAnsi="Calibri" w:eastAsia="仿宋_GB2312"/>
          <w:bCs/>
          <w:sz w:val="28"/>
          <w:szCs w:val="28"/>
          <w:highlight w:val="none"/>
          <w:lang w:eastAsia="zh-CN"/>
        </w:rPr>
        <w:t>至</w:t>
      </w:r>
      <w:r>
        <w:rPr>
          <w:rFonts w:hint="eastAsia" w:ascii="仿宋_GB2312" w:hAnsi="Calibri" w:eastAsia="仿宋_GB2312"/>
          <w:bCs/>
          <w:sz w:val="28"/>
          <w:szCs w:val="28"/>
          <w:highlight w:val="none"/>
          <w:lang w:val="en-US" w:eastAsia="zh-CN"/>
        </w:rPr>
        <w:t>2026年12月31日</w:t>
      </w:r>
      <w:r>
        <w:rPr>
          <w:rFonts w:hint="eastAsia" w:ascii="仿宋_GB2312" w:hAnsi="Calibri" w:eastAsia="仿宋_GB2312"/>
          <w:bCs/>
          <w:sz w:val="28"/>
          <w:szCs w:val="28"/>
          <w:highlight w:val="none"/>
        </w:rPr>
        <w:t>，1</w:t>
      </w:r>
      <w:r>
        <w:rPr>
          <w:rFonts w:hint="eastAsia" w:ascii="仿宋_GB2312" w:hAnsi="Calibri" w:eastAsia="仿宋_GB2312"/>
          <w:bCs/>
          <w:sz w:val="28"/>
          <w:szCs w:val="28"/>
          <w:highlight w:val="none"/>
          <w:lang w:val="en-US" w:eastAsia="zh-CN"/>
        </w:rPr>
        <w:t>2</w:t>
      </w:r>
      <w:r>
        <w:rPr>
          <w:rFonts w:hint="eastAsia" w:ascii="仿宋_GB2312" w:hAnsi="Calibri" w:eastAsia="仿宋_GB2312"/>
          <w:bCs/>
          <w:sz w:val="28"/>
          <w:szCs w:val="28"/>
          <w:highlight w:val="none"/>
        </w:rPr>
        <w:t>月底前完成松江区生态环境局要求的相关工作并提交成果材料。</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hint="eastAsia" w:ascii="黑体" w:hAnsi="黑体" w:eastAsia="黑体" w:cs="黑体"/>
          <w:b w:val="0"/>
          <w:bCs w:val="0"/>
          <w:kern w:val="0"/>
          <w:sz w:val="28"/>
          <w:szCs w:val="28"/>
          <w:highlight w:val="none"/>
          <w:lang w:eastAsia="zh-CN"/>
        </w:rPr>
      </w:pPr>
      <w:r>
        <w:rPr>
          <w:rFonts w:hint="eastAsia" w:ascii="黑体" w:hAnsi="黑体" w:eastAsia="黑体" w:cs="黑体"/>
          <w:b w:val="0"/>
          <w:bCs w:val="0"/>
          <w:kern w:val="0"/>
          <w:sz w:val="28"/>
          <w:szCs w:val="28"/>
          <w:highlight w:val="none"/>
          <w:lang w:eastAsia="zh-CN"/>
        </w:rPr>
        <w:t>五、验收和支付</w:t>
      </w:r>
    </w:p>
    <w:p>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_GB2312" w:hAnsi="Calibri" w:eastAsia="仿宋_GB2312"/>
          <w:bCs/>
          <w:sz w:val="28"/>
          <w:szCs w:val="28"/>
          <w:highlight w:val="none"/>
          <w:lang w:val="en-US" w:eastAsia="zh-CN"/>
        </w:rPr>
      </w:pPr>
      <w:r>
        <w:rPr>
          <w:rFonts w:hint="eastAsia" w:ascii="仿宋_GB2312" w:hAnsi="Calibri" w:eastAsia="仿宋_GB2312"/>
          <w:bCs/>
          <w:sz w:val="28"/>
          <w:szCs w:val="28"/>
          <w:highlight w:val="none"/>
          <w:lang w:val="en-US" w:eastAsia="zh-CN"/>
        </w:rPr>
        <w:t>预算安排金额共计12万元。</w:t>
      </w:r>
    </w:p>
    <w:p>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_GB2312" w:hAnsi="Calibri" w:eastAsia="仿宋_GB2312"/>
          <w:bCs/>
          <w:sz w:val="28"/>
          <w:szCs w:val="28"/>
          <w:highlight w:val="none"/>
          <w:lang w:val="en-US" w:eastAsia="zh-CN"/>
        </w:rPr>
      </w:pPr>
      <w:r>
        <w:rPr>
          <w:rFonts w:hint="eastAsia" w:ascii="仿宋_GB2312" w:hAnsi="Calibri" w:eastAsia="仿宋_GB2312"/>
          <w:bCs/>
          <w:sz w:val="28"/>
          <w:szCs w:val="28"/>
          <w:highlight w:val="none"/>
          <w:lang w:val="en-US" w:eastAsia="zh-CN"/>
        </w:rPr>
        <w:t>2026年10月底前</w:t>
      </w:r>
      <w:r>
        <w:rPr>
          <w:rFonts w:hint="eastAsia" w:ascii="仿宋_GB2312" w:hAnsi="Calibri" w:eastAsia="仿宋_GB2312"/>
          <w:bCs/>
          <w:sz w:val="28"/>
          <w:szCs w:val="28"/>
          <w:highlight w:val="none"/>
          <w:lang w:eastAsia="zh-CN"/>
        </w:rPr>
        <w:t>完成《松江区突发生态环境事件应急预案》评估情况报告，通过松江区生态环境局购买服务项目考核，支付</w:t>
      </w:r>
      <w:r>
        <w:rPr>
          <w:rFonts w:hint="eastAsia" w:ascii="仿宋_GB2312" w:hAnsi="Calibri" w:eastAsia="仿宋_GB2312"/>
          <w:bCs/>
          <w:sz w:val="28"/>
          <w:szCs w:val="28"/>
          <w:highlight w:val="none"/>
          <w:lang w:val="en-US" w:eastAsia="zh-CN"/>
        </w:rPr>
        <w:t>50%合同款。2026年12月底前完成</w:t>
      </w:r>
      <w:r>
        <w:rPr>
          <w:rFonts w:hint="eastAsia" w:eastAsia="仿宋_GB2312" w:cs="Times New Roman"/>
          <w:sz w:val="28"/>
          <w:szCs w:val="28"/>
          <w:highlight w:val="none"/>
          <w:lang w:val="en-US" w:eastAsia="zh-CN"/>
        </w:rPr>
        <w:t>《松江区突发生态环境事件应急预案》、《松江区突发生态环境事件应急预案编制说明》，并配合完成预案报批、备案等</w:t>
      </w:r>
      <w:r>
        <w:rPr>
          <w:rFonts w:hint="eastAsia" w:ascii="仿宋_GB2312" w:hAnsi="Calibri" w:eastAsia="仿宋_GB2312"/>
          <w:bCs/>
          <w:sz w:val="28"/>
          <w:szCs w:val="28"/>
          <w:highlight w:val="none"/>
          <w:lang w:val="en-US" w:eastAsia="zh-CN"/>
        </w:rPr>
        <w:t>工作</w:t>
      </w:r>
      <w:r>
        <w:rPr>
          <w:rFonts w:hint="eastAsia" w:ascii="仿宋_GB2312" w:hAnsi="Calibri" w:eastAsia="仿宋_GB2312"/>
          <w:bCs/>
          <w:sz w:val="28"/>
          <w:szCs w:val="28"/>
          <w:highlight w:val="none"/>
          <w:lang w:eastAsia="zh-CN"/>
        </w:rPr>
        <w:t>，通过松江区生态环境局购买服务项目考核，支付</w:t>
      </w:r>
      <w:r>
        <w:rPr>
          <w:rFonts w:hint="eastAsia" w:ascii="仿宋_GB2312" w:hAnsi="Calibri" w:eastAsia="仿宋_GB2312"/>
          <w:bCs/>
          <w:sz w:val="28"/>
          <w:szCs w:val="28"/>
          <w:highlight w:val="none"/>
          <w:lang w:val="en-US" w:eastAsia="zh-CN"/>
        </w:rPr>
        <w:t>50%合同款（2027年支付）。</w:t>
      </w:r>
    </w:p>
    <w:p>
      <w:pPr>
        <w:pStyle w:val="3"/>
        <w:keepNext w:val="0"/>
        <w:keepLines w:val="0"/>
        <w:pageBreakBefore w:val="0"/>
        <w:widowControl w:val="0"/>
        <w:numPr>
          <w:ilvl w:val="0"/>
          <w:numId w:val="0"/>
        </w:numPr>
        <w:tabs>
          <w:tab w:val="left" w:pos="360"/>
        </w:tabs>
        <w:kinsoku/>
        <w:wordWrap/>
        <w:overflowPunct/>
        <w:topLinePunct w:val="0"/>
        <w:autoSpaceDE/>
        <w:autoSpaceDN/>
        <w:bidi w:val="0"/>
        <w:snapToGrid/>
        <w:spacing w:before="0" w:after="0" w:line="500" w:lineRule="exact"/>
        <w:ind w:leftChars="0" w:firstLine="560" w:firstLineChars="200"/>
        <w:jc w:val="both"/>
        <w:rPr>
          <w:rFonts w:hint="eastAsia" w:ascii="CESI黑体-GB2312" w:hAnsi="CESI黑体-GB2312" w:eastAsia="CESI黑体-GB2312" w:cs="CESI黑体-GB2312"/>
          <w:b w:val="0"/>
          <w:bCs w:val="0"/>
          <w:sz w:val="28"/>
          <w:szCs w:val="28"/>
          <w:highlight w:val="none"/>
          <w:lang w:val="en-US" w:eastAsia="zh-CN"/>
        </w:rPr>
      </w:pPr>
      <w:r>
        <w:rPr>
          <w:rFonts w:hint="eastAsia" w:ascii="CESI黑体-GB2312" w:hAnsi="CESI黑体-GB2312" w:eastAsia="CESI黑体-GB2312" w:cs="CESI黑体-GB2312"/>
          <w:b w:val="0"/>
          <w:bCs w:val="0"/>
          <w:sz w:val="28"/>
          <w:szCs w:val="28"/>
          <w:highlight w:val="none"/>
          <w:lang w:val="en-US" w:eastAsia="zh-CN"/>
        </w:rPr>
        <w:t>六、其他须知事项</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right="0" w:firstLine="560" w:firstLineChars="200"/>
        <w:textAlignment w:val="auto"/>
        <w:rPr>
          <w:rFonts w:hint="eastAsia" w:ascii="仿宋_GB2312" w:hAnsi="仿宋_GB2312" w:eastAsia="仿宋_GB2312" w:cs="仿宋_GB2312"/>
          <w:b w:val="0"/>
          <w:bCs w:val="0"/>
          <w:i w:val="0"/>
          <w:iCs w:val="0"/>
          <w:caps w:val="0"/>
          <w:color w:val="0F1115"/>
          <w:spacing w:val="0"/>
          <w:sz w:val="28"/>
          <w:szCs w:val="28"/>
          <w:shd w:val="clear" w:color="auto" w:fill="FFFFFF"/>
          <w:lang w:val="en-US" w:eastAsia="zh-CN"/>
        </w:rPr>
      </w:pPr>
      <w:r>
        <w:rPr>
          <w:rFonts w:hint="eastAsia" w:ascii="仿宋_GB2312" w:hAnsi="仿宋_GB2312" w:eastAsia="仿宋_GB2312" w:cs="仿宋_GB2312"/>
          <w:b w:val="0"/>
          <w:bCs w:val="0"/>
          <w:i w:val="0"/>
          <w:iCs w:val="0"/>
          <w:caps w:val="0"/>
          <w:color w:val="0F1115"/>
          <w:spacing w:val="0"/>
          <w:sz w:val="28"/>
          <w:szCs w:val="28"/>
          <w:shd w:val="clear" w:color="auto" w:fill="FFFFFF"/>
          <w:lang w:val="en-US" w:eastAsia="zh-CN"/>
        </w:rPr>
        <w:t>异常低价的甄别</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right="0" w:firstLine="560" w:firstLineChars="200"/>
        <w:textAlignment w:val="auto"/>
        <w:rPr>
          <w:rFonts w:hint="eastAsia" w:ascii="仿宋_GB2312" w:hAnsi="仿宋_GB2312" w:eastAsia="仿宋_GB2312" w:cs="仿宋_GB2312"/>
          <w:b w:val="0"/>
          <w:bCs w:val="0"/>
          <w:i w:val="0"/>
          <w:iCs w:val="0"/>
          <w:caps w:val="0"/>
          <w:color w:val="0F1115"/>
          <w:spacing w:val="0"/>
          <w:sz w:val="28"/>
          <w:szCs w:val="28"/>
          <w:shd w:val="clear" w:color="auto" w:fill="FFFFFF"/>
          <w:lang w:val="en-US" w:eastAsia="zh-CN"/>
        </w:rPr>
      </w:pPr>
      <w:r>
        <w:rPr>
          <w:rFonts w:hint="eastAsia" w:ascii="仿宋_GB2312" w:hAnsi="仿宋_GB2312" w:eastAsia="仿宋_GB2312" w:cs="仿宋_GB2312"/>
          <w:b w:val="0"/>
          <w:bCs w:val="0"/>
          <w:i w:val="0"/>
          <w:iCs w:val="0"/>
          <w:caps w:val="0"/>
          <w:color w:val="0F1115"/>
          <w:spacing w:val="0"/>
          <w:sz w:val="28"/>
          <w:szCs w:val="28"/>
          <w:shd w:val="clear" w:color="auto" w:fill="FFFFFF"/>
          <w:lang w:val="en-US" w:eastAsia="zh-CN"/>
        </w:rPr>
        <w:t>投标（响应）报价出现下列情形之一的，甲方应当启动异常低价投标（响应）审查程序：</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right="0" w:firstLine="560" w:firstLineChars="200"/>
        <w:textAlignment w:val="auto"/>
        <w:rPr>
          <w:rFonts w:hint="eastAsia" w:ascii="仿宋_GB2312" w:hAnsi="仿宋_GB2312" w:eastAsia="仿宋_GB2312" w:cs="仿宋_GB2312"/>
          <w:b w:val="0"/>
          <w:bCs w:val="0"/>
          <w:i w:val="0"/>
          <w:iCs w:val="0"/>
          <w:caps w:val="0"/>
          <w:color w:val="0F1115"/>
          <w:spacing w:val="0"/>
          <w:sz w:val="28"/>
          <w:szCs w:val="28"/>
          <w:shd w:val="clear" w:color="auto" w:fill="FFFFFF"/>
          <w:lang w:val="en-US" w:eastAsia="zh-CN"/>
        </w:rPr>
      </w:pPr>
      <w:r>
        <w:rPr>
          <w:rFonts w:hint="eastAsia" w:ascii="仿宋_GB2312" w:hAnsi="仿宋_GB2312" w:eastAsia="仿宋_GB2312" w:cs="仿宋_GB2312"/>
          <w:b w:val="0"/>
          <w:bCs w:val="0"/>
          <w:i w:val="0"/>
          <w:iCs w:val="0"/>
          <w:caps w:val="0"/>
          <w:color w:val="0F1115"/>
          <w:spacing w:val="0"/>
          <w:sz w:val="28"/>
          <w:szCs w:val="28"/>
          <w:shd w:val="clear" w:color="auto" w:fill="FFFFFF"/>
          <w:lang w:val="en-US" w:eastAsia="zh-CN"/>
        </w:rPr>
        <w:t>①投标（响应）报价低于全部通过符合性审查供应商投标（响应）报价平均值50%的，即投标（响应）报价&lt;全部通过符合性审查供应商投标（响应）报价平均值×50%；</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right="0" w:firstLine="560" w:firstLineChars="200"/>
        <w:textAlignment w:val="auto"/>
        <w:rPr>
          <w:rFonts w:hint="eastAsia" w:ascii="仿宋_GB2312" w:hAnsi="仿宋_GB2312" w:eastAsia="仿宋_GB2312" w:cs="仿宋_GB2312"/>
          <w:b w:val="0"/>
          <w:bCs w:val="0"/>
          <w:i w:val="0"/>
          <w:iCs w:val="0"/>
          <w:caps w:val="0"/>
          <w:color w:val="0F1115"/>
          <w:spacing w:val="0"/>
          <w:sz w:val="28"/>
          <w:szCs w:val="28"/>
          <w:shd w:val="clear" w:color="auto" w:fill="FFFFFF"/>
          <w:lang w:val="en-US" w:eastAsia="zh-CN"/>
        </w:rPr>
      </w:pPr>
      <w:r>
        <w:rPr>
          <w:rFonts w:hint="eastAsia" w:ascii="仿宋_GB2312" w:hAnsi="仿宋_GB2312" w:eastAsia="仿宋_GB2312" w:cs="仿宋_GB2312"/>
          <w:b w:val="0"/>
          <w:bCs w:val="0"/>
          <w:i w:val="0"/>
          <w:iCs w:val="0"/>
          <w:caps w:val="0"/>
          <w:color w:val="0F1115"/>
          <w:spacing w:val="0"/>
          <w:sz w:val="28"/>
          <w:szCs w:val="28"/>
          <w:shd w:val="clear" w:color="auto" w:fill="FFFFFF"/>
          <w:lang w:val="en-US" w:eastAsia="zh-CN"/>
        </w:rPr>
        <w:t>②投标（响应）报价低于通过符合性审查的次低报价供应商投标（响应）报价65%的，即投标（响应）报价&lt;通过符合性审查的次低报价供应商投标（响应）报价×50%；</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right="0" w:firstLine="560" w:firstLineChars="200"/>
        <w:textAlignment w:val="auto"/>
        <w:rPr>
          <w:rFonts w:hint="eastAsia" w:ascii="仿宋_GB2312" w:hAnsi="仿宋_GB2312" w:eastAsia="仿宋_GB2312" w:cs="仿宋_GB2312"/>
          <w:b w:val="0"/>
          <w:bCs w:val="0"/>
          <w:i w:val="0"/>
          <w:iCs w:val="0"/>
          <w:caps w:val="0"/>
          <w:color w:val="0F1115"/>
          <w:spacing w:val="0"/>
          <w:sz w:val="28"/>
          <w:szCs w:val="28"/>
          <w:shd w:val="clear" w:color="auto" w:fill="FFFFFF"/>
          <w:lang w:val="en-US" w:eastAsia="zh-CN"/>
        </w:rPr>
      </w:pPr>
      <w:r>
        <w:rPr>
          <w:rFonts w:hint="eastAsia" w:ascii="仿宋_GB2312" w:hAnsi="仿宋_GB2312" w:eastAsia="仿宋_GB2312" w:cs="仿宋_GB2312"/>
          <w:b w:val="0"/>
          <w:bCs w:val="0"/>
          <w:i w:val="0"/>
          <w:iCs w:val="0"/>
          <w:caps w:val="0"/>
          <w:color w:val="0F1115"/>
          <w:spacing w:val="0"/>
          <w:sz w:val="28"/>
          <w:szCs w:val="28"/>
          <w:shd w:val="clear" w:color="auto" w:fill="FFFFFF"/>
          <w:lang w:val="en-US" w:eastAsia="zh-CN"/>
        </w:rPr>
        <w:t>③投标（响应）报价低于采购项目最高限价45%的，即投标（响应）报价&lt;采购项目最高限价×45%；</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right="0" w:firstLine="560" w:firstLineChars="200"/>
        <w:textAlignment w:val="auto"/>
        <w:rPr>
          <w:rFonts w:hint="eastAsia" w:ascii="仿宋_GB2312" w:hAnsi="仿宋_GB2312" w:eastAsia="仿宋_GB2312" w:cs="仿宋_GB2312"/>
          <w:b w:val="0"/>
          <w:bCs w:val="0"/>
          <w:i w:val="0"/>
          <w:iCs w:val="0"/>
          <w:caps w:val="0"/>
          <w:color w:val="0F1115"/>
          <w:spacing w:val="0"/>
          <w:sz w:val="28"/>
          <w:szCs w:val="28"/>
          <w:shd w:val="clear" w:color="auto" w:fill="FFFFFF"/>
          <w:lang w:val="en-US" w:eastAsia="zh-CN"/>
        </w:rPr>
      </w:pPr>
      <w:r>
        <w:rPr>
          <w:rFonts w:hint="eastAsia" w:ascii="仿宋_GB2312" w:hAnsi="仿宋_GB2312" w:eastAsia="仿宋_GB2312" w:cs="仿宋_GB2312"/>
          <w:b w:val="0"/>
          <w:bCs w:val="0"/>
          <w:i w:val="0"/>
          <w:iCs w:val="0"/>
          <w:caps w:val="0"/>
          <w:color w:val="0F1115"/>
          <w:spacing w:val="0"/>
          <w:sz w:val="28"/>
          <w:szCs w:val="28"/>
          <w:shd w:val="clear" w:color="auto" w:fill="FFFFFF"/>
          <w:lang w:val="en-US" w:eastAsia="zh-CN"/>
        </w:rPr>
        <w:t>④评审委员会基于专业判断，认为供应商报价过低，有可能影响产品质量或者不能诚信履约的其他情形。</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right="0" w:firstLine="560" w:firstLineChars="200"/>
        <w:textAlignment w:val="auto"/>
        <w:rPr>
          <w:rFonts w:hint="eastAsia" w:ascii="仿宋_GB2312" w:hAnsi="仿宋_GB2312" w:eastAsia="仿宋_GB2312" w:cs="仿宋_GB2312"/>
          <w:b w:val="0"/>
          <w:bCs w:val="0"/>
          <w:i w:val="0"/>
          <w:iCs w:val="0"/>
          <w:caps w:val="0"/>
          <w:color w:val="0F1115"/>
          <w:spacing w:val="0"/>
          <w:sz w:val="28"/>
          <w:szCs w:val="28"/>
          <w:shd w:val="clear" w:color="auto" w:fill="FFFFFF"/>
          <w:lang w:val="en-US" w:eastAsia="zh-CN"/>
        </w:rPr>
      </w:pPr>
      <w:r>
        <w:rPr>
          <w:rFonts w:hint="eastAsia" w:ascii="仿宋_GB2312" w:hAnsi="仿宋_GB2312" w:eastAsia="仿宋_GB2312" w:cs="仿宋_GB2312"/>
          <w:b w:val="0"/>
          <w:bCs w:val="0"/>
          <w:i w:val="0"/>
          <w:iCs w:val="0"/>
          <w:caps w:val="0"/>
          <w:color w:val="0F1115"/>
          <w:spacing w:val="0"/>
          <w:sz w:val="28"/>
          <w:szCs w:val="28"/>
          <w:shd w:val="clear" w:color="auto" w:fill="FFFFFF"/>
          <w:lang w:val="en-US" w:eastAsia="zh-CN"/>
        </w:rPr>
        <w:t>甲方启动异常低价投标（响应）审查后，相关供应商自接到评标委员会的澄清要求后30分钟内对投标（响应）价格作出解释，并提供项目具体成本测算等与报价合理性相关的书面说明及必要的证明材料，包括但不限于原材料成本、人工成本、制造费用等。</w:t>
      </w:r>
    </w:p>
    <w:p>
      <w:pPr>
        <w:pStyle w:val="5"/>
        <w:keepNext w:val="0"/>
        <w:keepLines w:val="0"/>
        <w:pageBreakBefore w:val="0"/>
        <w:widowControl w:val="0"/>
        <w:kinsoku/>
        <w:wordWrap/>
        <w:overflowPunct/>
        <w:topLinePunct w:val="0"/>
        <w:autoSpaceDE/>
        <w:autoSpaceDN/>
        <w:bidi w:val="0"/>
        <w:snapToGrid/>
        <w:spacing w:line="500" w:lineRule="exact"/>
        <w:jc w:val="both"/>
        <w:rPr>
          <w:rFonts w:hint="eastAsia" w:ascii="仿宋_GB2312" w:hAnsi="Calibri" w:eastAsia="仿宋_GB2312"/>
          <w:bCs/>
          <w:sz w:val="28"/>
          <w:szCs w:val="28"/>
          <w:highlight w:val="yellow"/>
          <w:lang w:val="en-US" w:eastAsia="zh-CN"/>
        </w:rPr>
      </w:pPr>
      <w:r>
        <w:rPr>
          <w:rFonts w:hint="eastAsia" w:ascii="仿宋_GB2312" w:hAnsi="仿宋_GB2312" w:eastAsia="仿宋_GB2312" w:cs="仿宋_GB2312"/>
          <w:b w:val="0"/>
          <w:bCs w:val="0"/>
          <w:i w:val="0"/>
          <w:iCs w:val="0"/>
          <w:caps w:val="0"/>
          <w:color w:val="0F1115"/>
          <w:spacing w:val="0"/>
          <w:sz w:val="28"/>
          <w:szCs w:val="28"/>
          <w:shd w:val="clear" w:color="auto" w:fill="FFFFFF"/>
          <w:lang w:val="en-US" w:eastAsia="zh-CN"/>
        </w:rPr>
        <w:t>甲方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rPr>
          <w:rFonts w:hint="eastAsia" w:ascii="仿宋_GB2312" w:hAnsi="仿宋_GB2312" w:eastAsia="仿宋_GB2312" w:cs="仿宋_GB2312"/>
          <w:b w:val="0"/>
          <w:bCs w:val="0"/>
          <w:kern w:val="0"/>
          <w:sz w:val="28"/>
          <w:szCs w:val="28"/>
          <w:lang w:val="en-US" w:eastAsia="zh-CN" w:bidi="ar-SA"/>
        </w:rPr>
      </w:pPr>
    </w:p>
    <w:tbl>
      <w:tblPr>
        <w:tblStyle w:val="8"/>
        <w:tblW w:w="9125" w:type="dxa"/>
        <w:jc w:val="center"/>
        <w:tblLayout w:type="fixed"/>
        <w:tblCellMar>
          <w:top w:w="0" w:type="dxa"/>
          <w:left w:w="108" w:type="dxa"/>
          <w:bottom w:w="0" w:type="dxa"/>
          <w:right w:w="108" w:type="dxa"/>
        </w:tblCellMar>
      </w:tblPr>
      <w:tblGrid>
        <w:gridCol w:w="1402"/>
        <w:gridCol w:w="7723"/>
      </w:tblGrid>
      <w:tr>
        <w:tblPrEx>
          <w:tblCellMar>
            <w:top w:w="0" w:type="dxa"/>
            <w:left w:w="108" w:type="dxa"/>
            <w:bottom w:w="0" w:type="dxa"/>
            <w:right w:w="108" w:type="dxa"/>
          </w:tblCellMar>
        </w:tblPrEx>
        <w:trPr>
          <w:trHeight w:val="514" w:hRule="atLeast"/>
          <w:jc w:val="center"/>
        </w:trPr>
        <w:tc>
          <w:tcPr>
            <w:tcW w:w="9125"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_GB2312" w:hAnsi="宋体" w:eastAsia="仿宋_GB2312"/>
                <w:b/>
                <w:bCs/>
                <w:kern w:val="0"/>
                <w:sz w:val="20"/>
                <w:szCs w:val="20"/>
              </w:rPr>
            </w:pPr>
            <w:r>
              <w:rPr>
                <w:rFonts w:hint="eastAsia" w:ascii="仿宋_GB2312" w:hAnsi="宋体" w:eastAsia="仿宋_GB2312"/>
                <w:b/>
                <w:bCs/>
                <w:kern w:val="0"/>
                <w:sz w:val="20"/>
                <w:szCs w:val="20"/>
              </w:rPr>
              <w:t>综合评分指标内容</w:t>
            </w:r>
          </w:p>
        </w:tc>
      </w:tr>
      <w:tr>
        <w:tblPrEx>
          <w:tblCellMar>
            <w:top w:w="0" w:type="dxa"/>
            <w:left w:w="108" w:type="dxa"/>
            <w:bottom w:w="0" w:type="dxa"/>
            <w:right w:w="108" w:type="dxa"/>
          </w:tblCellMar>
        </w:tblPrEx>
        <w:trPr>
          <w:trHeight w:val="357" w:hRule="atLeast"/>
          <w:jc w:val="center"/>
        </w:trPr>
        <w:tc>
          <w:tcPr>
            <w:tcW w:w="1402" w:type="dxa"/>
            <w:tcBorders>
              <w:top w:val="nil"/>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_GB2312" w:hAnsi="宋体" w:eastAsia="仿宋_GB2312"/>
                <w:b/>
                <w:bCs/>
                <w:kern w:val="0"/>
                <w:sz w:val="20"/>
                <w:szCs w:val="20"/>
              </w:rPr>
            </w:pPr>
            <w:r>
              <w:rPr>
                <w:rFonts w:hint="eastAsia" w:ascii="仿宋_GB2312" w:hAnsi="宋体" w:eastAsia="仿宋_GB2312"/>
                <w:b/>
                <w:bCs/>
                <w:kern w:val="0"/>
                <w:sz w:val="20"/>
                <w:szCs w:val="20"/>
              </w:rPr>
              <w:t>项目名称</w:t>
            </w:r>
          </w:p>
        </w:tc>
        <w:tc>
          <w:tcPr>
            <w:tcW w:w="772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_GB2312" w:hAnsi="宋体" w:eastAsia="仿宋_GB2312"/>
                <w:b/>
                <w:bCs/>
                <w:kern w:val="0"/>
                <w:sz w:val="20"/>
                <w:szCs w:val="20"/>
              </w:rPr>
            </w:pPr>
          </w:p>
        </w:tc>
      </w:tr>
      <w:tr>
        <w:tblPrEx>
          <w:tblCellMar>
            <w:top w:w="0" w:type="dxa"/>
            <w:left w:w="108" w:type="dxa"/>
            <w:bottom w:w="0" w:type="dxa"/>
            <w:right w:w="108" w:type="dxa"/>
          </w:tblCellMar>
        </w:tblPrEx>
        <w:trPr>
          <w:trHeight w:val="352" w:hRule="atLeast"/>
          <w:jc w:val="center"/>
        </w:trPr>
        <w:tc>
          <w:tcPr>
            <w:tcW w:w="1402" w:type="dxa"/>
            <w:tcBorders>
              <w:top w:val="nil"/>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_GB2312" w:hAnsi="宋体" w:eastAsia="仿宋_GB2312"/>
                <w:b/>
                <w:bCs/>
                <w:kern w:val="0"/>
                <w:sz w:val="20"/>
                <w:szCs w:val="20"/>
              </w:rPr>
            </w:pPr>
            <w:r>
              <w:rPr>
                <w:rFonts w:hint="eastAsia" w:ascii="仿宋_GB2312" w:hAnsi="宋体" w:eastAsia="仿宋_GB2312"/>
                <w:b/>
                <w:bCs/>
                <w:kern w:val="0"/>
                <w:sz w:val="20"/>
                <w:szCs w:val="20"/>
              </w:rPr>
              <w:t>指标及分值</w:t>
            </w:r>
          </w:p>
        </w:tc>
        <w:tc>
          <w:tcPr>
            <w:tcW w:w="772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_GB2312" w:hAnsi="宋体" w:eastAsia="仿宋_GB2312"/>
                <w:b/>
                <w:bCs/>
                <w:kern w:val="0"/>
                <w:sz w:val="20"/>
                <w:szCs w:val="20"/>
              </w:rPr>
            </w:pPr>
            <w:r>
              <w:rPr>
                <w:rFonts w:hint="eastAsia" w:ascii="仿宋_GB2312" w:hAnsi="宋体" w:eastAsia="仿宋_GB2312"/>
                <w:b/>
                <w:bCs/>
                <w:kern w:val="0"/>
                <w:sz w:val="20"/>
                <w:szCs w:val="20"/>
              </w:rPr>
              <w:t>评分标准</w:t>
            </w:r>
          </w:p>
        </w:tc>
      </w:tr>
      <w:tr>
        <w:trPr>
          <w:trHeight w:val="422" w:hRule="atLeast"/>
          <w:jc w:val="center"/>
        </w:trPr>
        <w:tc>
          <w:tcPr>
            <w:tcW w:w="1402" w:type="dxa"/>
            <w:tcBorders>
              <w:top w:val="nil"/>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_GB2312" w:hAnsi="宋体" w:eastAsia="仿宋_GB2312"/>
                <w:b/>
                <w:bCs/>
                <w:kern w:val="0"/>
                <w:sz w:val="20"/>
                <w:szCs w:val="20"/>
              </w:rPr>
            </w:pPr>
            <w:r>
              <w:rPr>
                <w:rFonts w:hint="eastAsia" w:ascii="仿宋_GB2312" w:hAnsi="宋体" w:eastAsia="仿宋_GB2312"/>
                <w:b/>
                <w:bCs/>
                <w:kern w:val="0"/>
                <w:sz w:val="20"/>
                <w:szCs w:val="20"/>
              </w:rPr>
              <w:t>报价（万元）</w:t>
            </w:r>
          </w:p>
        </w:tc>
        <w:tc>
          <w:tcPr>
            <w:tcW w:w="772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_GB2312" w:hAnsi="宋体" w:eastAsia="仿宋_GB2312"/>
                <w:b/>
                <w:bCs/>
                <w:kern w:val="0"/>
                <w:sz w:val="20"/>
                <w:szCs w:val="20"/>
              </w:rPr>
            </w:pPr>
          </w:p>
        </w:tc>
      </w:tr>
      <w:tr>
        <w:tblPrEx>
          <w:tblCellMar>
            <w:top w:w="0" w:type="dxa"/>
            <w:left w:w="108" w:type="dxa"/>
            <w:bottom w:w="0" w:type="dxa"/>
            <w:right w:w="108" w:type="dxa"/>
          </w:tblCellMar>
        </w:tblPrEx>
        <w:trPr>
          <w:trHeight w:val="570" w:hRule="atLeast"/>
          <w:jc w:val="center"/>
        </w:trPr>
        <w:tc>
          <w:tcPr>
            <w:tcW w:w="1402" w:type="dxa"/>
            <w:tcBorders>
              <w:top w:val="nil"/>
              <w:left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_GB2312" w:hAnsi="宋体" w:eastAsia="仿宋_GB2312" w:cs="宋体"/>
                <w:kern w:val="0"/>
                <w:sz w:val="20"/>
                <w:szCs w:val="20"/>
              </w:rPr>
            </w:pPr>
            <w:r>
              <w:rPr>
                <w:rFonts w:hint="eastAsia" w:ascii="仿宋_GB2312" w:hAnsi="宋体" w:eastAsia="仿宋_GB2312" w:cs="宋体"/>
                <w:kern w:val="0"/>
                <w:sz w:val="20"/>
                <w:szCs w:val="20"/>
              </w:rPr>
              <w:t>报价        （20分）</w:t>
            </w:r>
          </w:p>
        </w:tc>
        <w:tc>
          <w:tcPr>
            <w:tcW w:w="772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满足采购文件要求且价格最低的最终报价为评审基准价，得20分。</w:t>
            </w:r>
          </w:p>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其他供应商的价格分统一按照下列公式计算：报价得分=20×（评审基准价/最终报价）；超过最高限价金额的投标为无效投标；</w:t>
            </w:r>
          </w:p>
        </w:tc>
      </w:tr>
      <w:tr>
        <w:tblPrEx>
          <w:tblCellMar>
            <w:top w:w="0" w:type="dxa"/>
            <w:left w:w="108" w:type="dxa"/>
            <w:bottom w:w="0" w:type="dxa"/>
            <w:right w:w="108" w:type="dxa"/>
          </w:tblCellMar>
        </w:tblPrEx>
        <w:trPr>
          <w:trHeight w:val="763" w:hRule="atLeast"/>
          <w:jc w:val="center"/>
        </w:trPr>
        <w:tc>
          <w:tcPr>
            <w:tcW w:w="14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服务方案    （2</w:t>
            </w:r>
            <w:r>
              <w:rPr>
                <w:rFonts w:hint="eastAsia" w:ascii="仿宋_GB2312" w:hAnsi="仿宋_GB2312" w:cs="仿宋_GB2312"/>
                <w:kern w:val="0"/>
                <w:sz w:val="20"/>
                <w:szCs w:val="20"/>
              </w:rPr>
              <w:t>4</w:t>
            </w:r>
            <w:r>
              <w:rPr>
                <w:rFonts w:hint="eastAsia" w:ascii="仿宋_GB2312" w:hAnsi="仿宋_GB2312" w:eastAsia="仿宋_GB2312" w:cs="仿宋_GB2312"/>
                <w:kern w:val="0"/>
                <w:sz w:val="20"/>
                <w:szCs w:val="20"/>
              </w:rPr>
              <w:t>分）</w:t>
            </w:r>
          </w:p>
        </w:tc>
        <w:tc>
          <w:tcPr>
            <w:tcW w:w="772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根据报价供应商所提供总体服务方案中体现的方案服务内容、服务安排、重点分析等响应情况给予评价。总体服务方案完善，思路明确完全符合招标文件要求为好（1</w:t>
            </w:r>
            <w:r>
              <w:rPr>
                <w:rFonts w:hint="eastAsia" w:ascii="仿宋_GB2312" w:hAnsi="仿宋_GB2312" w:cs="仿宋_GB2312"/>
                <w:kern w:val="0"/>
                <w:sz w:val="20"/>
                <w:szCs w:val="20"/>
              </w:rPr>
              <w:t>6</w:t>
            </w:r>
            <w:r>
              <w:rPr>
                <w:rFonts w:hint="eastAsia" w:ascii="仿宋_GB2312" w:hAnsi="仿宋_GB2312" w:eastAsia="仿宋_GB2312" w:cs="仿宋_GB2312"/>
                <w:kern w:val="0"/>
                <w:sz w:val="20"/>
                <w:szCs w:val="20"/>
              </w:rPr>
              <w:t>-2</w:t>
            </w:r>
            <w:r>
              <w:rPr>
                <w:rFonts w:hint="eastAsia" w:ascii="仿宋_GB2312" w:hAnsi="仿宋_GB2312" w:cs="仿宋_GB2312"/>
                <w:kern w:val="0"/>
                <w:sz w:val="20"/>
                <w:szCs w:val="20"/>
              </w:rPr>
              <w:t>4</w:t>
            </w:r>
            <w:r>
              <w:rPr>
                <w:rFonts w:hint="eastAsia" w:ascii="仿宋_GB2312" w:hAnsi="仿宋_GB2312" w:eastAsia="仿宋_GB2312" w:cs="仿宋_GB2312"/>
                <w:kern w:val="0"/>
                <w:sz w:val="20"/>
                <w:szCs w:val="20"/>
              </w:rPr>
              <w:t>分）；总体服务方案简单，基本能满足招标文件要求为一般（7-1</w:t>
            </w:r>
            <w:r>
              <w:rPr>
                <w:rFonts w:hint="eastAsia" w:ascii="仿宋_GB2312" w:hAnsi="仿宋_GB2312" w:cs="仿宋_GB2312"/>
                <w:kern w:val="0"/>
                <w:sz w:val="20"/>
                <w:szCs w:val="20"/>
              </w:rPr>
              <w:t>5</w:t>
            </w:r>
            <w:r>
              <w:rPr>
                <w:rFonts w:hint="eastAsia" w:ascii="仿宋_GB2312" w:hAnsi="仿宋_GB2312" w:eastAsia="仿宋_GB2312" w:cs="仿宋_GB2312"/>
                <w:kern w:val="0"/>
                <w:sz w:val="20"/>
                <w:szCs w:val="20"/>
              </w:rPr>
              <w:t>分）；总体服务方案不明确，不能满足招标文件要求为差（1-6分）。</w:t>
            </w:r>
          </w:p>
        </w:tc>
      </w:tr>
      <w:tr>
        <w:tblPrEx>
          <w:tblCellMar>
            <w:top w:w="0" w:type="dxa"/>
            <w:left w:w="108" w:type="dxa"/>
            <w:bottom w:w="0" w:type="dxa"/>
            <w:right w:w="108" w:type="dxa"/>
          </w:tblCellMar>
        </w:tblPrEx>
        <w:trPr>
          <w:trHeight w:val="763" w:hRule="atLeast"/>
          <w:jc w:val="center"/>
        </w:trPr>
        <w:tc>
          <w:tcPr>
            <w:tcW w:w="14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质量保证措施       （20分）</w:t>
            </w:r>
          </w:p>
        </w:tc>
        <w:tc>
          <w:tcPr>
            <w:tcW w:w="772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kern w:val="0"/>
                <w:sz w:val="20"/>
                <w:szCs w:val="20"/>
              </w:rPr>
            </w:pPr>
            <w:r>
              <w:rPr>
                <w:rFonts w:hint="eastAsia" w:ascii="仿宋_GB2312" w:hAnsi="仿宋_GB2312" w:eastAsia="仿宋_GB2312" w:cs="仿宋_GB2312"/>
                <w:sz w:val="20"/>
                <w:szCs w:val="20"/>
              </w:rPr>
              <w:t>根据报价供应商提供的质量保证措施情况及解决措施的综合情况进行综合评审</w:t>
            </w:r>
            <w:r>
              <w:rPr>
                <w:rFonts w:hint="eastAsia" w:ascii="仿宋_GB2312" w:hAnsi="仿宋_GB2312" w:cs="仿宋_GB2312"/>
                <w:sz w:val="20"/>
                <w:szCs w:val="20"/>
              </w:rPr>
              <w:t>。</w:t>
            </w:r>
            <w:r>
              <w:rPr>
                <w:rFonts w:hint="eastAsia" w:ascii="仿宋_GB2312" w:hAnsi="仿宋_GB2312" w:eastAsia="仿宋_GB2312" w:cs="仿宋_GB2312"/>
                <w:sz w:val="20"/>
                <w:szCs w:val="20"/>
              </w:rPr>
              <w:t>质量保证分析及措施合理且完全满足需求的为好（</w:t>
            </w:r>
            <w:r>
              <w:rPr>
                <w:rFonts w:hint="eastAsia" w:ascii="仿宋_GB2312" w:hAnsi="仿宋_GB2312" w:eastAsia="仿宋_GB2312" w:cs="仿宋_GB2312"/>
                <w:kern w:val="0"/>
                <w:sz w:val="20"/>
                <w:szCs w:val="20"/>
              </w:rPr>
              <w:t>15-20分</w:t>
            </w:r>
            <w:r>
              <w:rPr>
                <w:rFonts w:hint="eastAsia" w:ascii="仿宋_GB2312" w:hAnsi="仿宋_GB2312" w:eastAsia="仿宋_GB2312" w:cs="仿宋_GB2312"/>
                <w:sz w:val="20"/>
                <w:szCs w:val="20"/>
              </w:rPr>
              <w:t>）</w:t>
            </w:r>
            <w:r>
              <w:rPr>
                <w:rFonts w:hint="eastAsia" w:ascii="仿宋_GB2312" w:hAnsi="仿宋_GB2312" w:cs="仿宋_GB2312"/>
                <w:sz w:val="20"/>
                <w:szCs w:val="20"/>
              </w:rPr>
              <w:t>；</w:t>
            </w:r>
            <w:r>
              <w:rPr>
                <w:rFonts w:hint="eastAsia" w:ascii="仿宋_GB2312" w:hAnsi="仿宋_GB2312" w:eastAsia="仿宋_GB2312" w:cs="仿宋_GB2312"/>
                <w:sz w:val="20"/>
                <w:szCs w:val="20"/>
              </w:rPr>
              <w:t>质量保证分析及措施基本满足文件需求为一般（</w:t>
            </w:r>
            <w:r>
              <w:rPr>
                <w:rFonts w:hint="eastAsia" w:ascii="仿宋_GB2312" w:hAnsi="仿宋_GB2312" w:eastAsia="仿宋_GB2312" w:cs="仿宋_GB2312"/>
                <w:kern w:val="0"/>
                <w:sz w:val="20"/>
                <w:szCs w:val="20"/>
              </w:rPr>
              <w:t>7-14分</w:t>
            </w:r>
            <w:r>
              <w:rPr>
                <w:rFonts w:hint="eastAsia" w:ascii="仿宋_GB2312" w:hAnsi="仿宋_GB2312" w:eastAsia="仿宋_GB2312" w:cs="仿宋_GB2312"/>
                <w:sz w:val="20"/>
                <w:szCs w:val="20"/>
              </w:rPr>
              <w:t>）</w:t>
            </w:r>
            <w:r>
              <w:rPr>
                <w:rFonts w:hint="eastAsia" w:ascii="仿宋_GB2312" w:hAnsi="仿宋_GB2312" w:cs="仿宋_GB2312"/>
                <w:sz w:val="20"/>
                <w:szCs w:val="20"/>
              </w:rPr>
              <w:t>；</w:t>
            </w:r>
            <w:r>
              <w:rPr>
                <w:rFonts w:hint="eastAsia" w:ascii="仿宋_GB2312" w:hAnsi="仿宋_GB2312" w:eastAsia="仿宋_GB2312" w:cs="仿宋_GB2312"/>
                <w:sz w:val="20"/>
                <w:szCs w:val="20"/>
              </w:rPr>
              <w:t>质量保证分析及措施不满足需求为差（</w:t>
            </w:r>
            <w:r>
              <w:rPr>
                <w:rFonts w:hint="eastAsia" w:ascii="仿宋_GB2312" w:hAnsi="仿宋_GB2312" w:eastAsia="仿宋_GB2312" w:cs="仿宋_GB2312"/>
                <w:kern w:val="0"/>
                <w:sz w:val="20"/>
                <w:szCs w:val="20"/>
              </w:rPr>
              <w:t>1-6</w:t>
            </w:r>
            <w:r>
              <w:rPr>
                <w:rFonts w:hint="eastAsia" w:ascii="仿宋_GB2312" w:hAnsi="仿宋_GB2312" w:eastAsia="仿宋_GB2312" w:cs="仿宋_GB2312"/>
                <w:sz w:val="20"/>
                <w:szCs w:val="20"/>
              </w:rPr>
              <w:t>分）</w:t>
            </w:r>
          </w:p>
        </w:tc>
      </w:tr>
      <w:tr>
        <w:trPr>
          <w:trHeight w:val="418" w:hRule="atLeast"/>
          <w:jc w:val="center"/>
        </w:trPr>
        <w:tc>
          <w:tcPr>
            <w:tcW w:w="14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_GB2312" w:hAnsi="宋体" w:eastAsia="仿宋_GB2312" w:cs="宋体"/>
                <w:kern w:val="0"/>
                <w:sz w:val="20"/>
                <w:szCs w:val="20"/>
              </w:rPr>
            </w:pPr>
            <w:r>
              <w:rPr>
                <w:rFonts w:hint="eastAsia" w:ascii="仿宋_GB2312" w:hAnsi="宋体" w:eastAsia="仿宋_GB2312" w:cs="宋体"/>
                <w:kern w:val="0"/>
                <w:sz w:val="20"/>
                <w:szCs w:val="20"/>
              </w:rPr>
              <w:t>服务承诺</w:t>
            </w:r>
          </w:p>
          <w:p>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_GB2312" w:hAnsi="宋体" w:eastAsia="仿宋_GB2312" w:cs="宋体"/>
                <w:kern w:val="0"/>
                <w:sz w:val="20"/>
                <w:szCs w:val="20"/>
              </w:rPr>
            </w:pPr>
            <w:r>
              <w:rPr>
                <w:rFonts w:hint="eastAsia" w:ascii="仿宋_GB2312" w:hAnsi="宋体" w:eastAsia="仿宋_GB2312" w:cs="宋体"/>
                <w:kern w:val="0"/>
                <w:sz w:val="20"/>
                <w:szCs w:val="20"/>
              </w:rPr>
              <w:t>（10分）</w:t>
            </w:r>
          </w:p>
        </w:tc>
        <w:tc>
          <w:tcPr>
            <w:tcW w:w="772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根据报价供应商提供的服务承诺及合理化建议进行综合评审。服务承诺优于文件要求及合理化建议可行为好（7-10分）；服务承诺基本满足文件要求及合理化建议较好为一般（4-6分）；服务承诺不能满足文件要求及合理化建议不可行为差（1-3分）</w:t>
            </w:r>
          </w:p>
        </w:tc>
      </w:tr>
      <w:tr>
        <w:tblPrEx>
          <w:tblCellMar>
            <w:top w:w="0" w:type="dxa"/>
            <w:left w:w="108" w:type="dxa"/>
            <w:bottom w:w="0" w:type="dxa"/>
            <w:right w:w="108" w:type="dxa"/>
          </w:tblCellMar>
        </w:tblPrEx>
        <w:trPr>
          <w:trHeight w:val="763" w:hRule="atLeast"/>
          <w:jc w:val="center"/>
        </w:trPr>
        <w:tc>
          <w:tcPr>
            <w:tcW w:w="14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_GB2312" w:hAnsi="宋体" w:eastAsia="仿宋_GB2312" w:cs="宋体"/>
                <w:kern w:val="0"/>
                <w:sz w:val="20"/>
                <w:szCs w:val="20"/>
              </w:rPr>
            </w:pPr>
            <w:r>
              <w:rPr>
                <w:rFonts w:hint="eastAsia" w:ascii="仿宋_GB2312" w:hAnsi="宋体" w:eastAsia="仿宋_GB2312" w:cs="宋体"/>
                <w:kern w:val="0"/>
                <w:sz w:val="20"/>
                <w:szCs w:val="20"/>
              </w:rPr>
              <w:t>人员配备   （20分）</w:t>
            </w:r>
          </w:p>
        </w:tc>
        <w:tc>
          <w:tcPr>
            <w:tcW w:w="772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拟投入项目人员安排是否合理全面、数量充足，项目组人员参与类似相关工作经验的丰富程度；本项目人员的构成情况，人员配置满足采购需求好的（15-20分）；</w:t>
            </w:r>
          </w:p>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人员配置基本满足采购需求的得（7-14分）；人员配置不完善的得（1-6分）。</w:t>
            </w:r>
          </w:p>
        </w:tc>
      </w:tr>
      <w:tr>
        <w:tblPrEx>
          <w:tblCellMar>
            <w:top w:w="0" w:type="dxa"/>
            <w:left w:w="108" w:type="dxa"/>
            <w:bottom w:w="0" w:type="dxa"/>
            <w:right w:w="108" w:type="dxa"/>
          </w:tblCellMar>
        </w:tblPrEx>
        <w:trPr>
          <w:trHeight w:val="763" w:hRule="atLeast"/>
          <w:jc w:val="center"/>
        </w:trPr>
        <w:tc>
          <w:tcPr>
            <w:tcW w:w="14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_GB2312" w:hAnsi="宋体" w:eastAsia="仿宋_GB2312" w:cs="宋体"/>
                <w:kern w:val="0"/>
                <w:sz w:val="20"/>
                <w:szCs w:val="20"/>
              </w:rPr>
            </w:pPr>
            <w:r>
              <w:rPr>
                <w:rFonts w:hint="eastAsia" w:ascii="仿宋_GB2312" w:hAnsi="宋体" w:eastAsia="仿宋_GB2312" w:cs="宋体"/>
                <w:kern w:val="0"/>
                <w:sz w:val="20"/>
                <w:szCs w:val="20"/>
              </w:rPr>
              <w:t>相关业绩</w:t>
            </w:r>
          </w:p>
          <w:p>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_GB2312" w:hAnsi="宋体" w:eastAsia="仿宋_GB2312" w:cs="宋体"/>
                <w:kern w:val="0"/>
                <w:sz w:val="20"/>
                <w:szCs w:val="20"/>
              </w:rPr>
            </w:pPr>
            <w:r>
              <w:rPr>
                <w:rFonts w:hint="eastAsia" w:ascii="仿宋_GB2312" w:hAnsi="宋体" w:eastAsia="仿宋_GB2312" w:cs="宋体"/>
                <w:kern w:val="0"/>
                <w:sz w:val="20"/>
                <w:szCs w:val="20"/>
              </w:rPr>
              <w:t>（</w:t>
            </w:r>
            <w:r>
              <w:rPr>
                <w:rFonts w:hint="eastAsia" w:ascii="仿宋_GB2312" w:hAnsi="宋体" w:cs="宋体"/>
                <w:kern w:val="0"/>
                <w:sz w:val="20"/>
                <w:szCs w:val="20"/>
              </w:rPr>
              <w:t>6</w:t>
            </w:r>
            <w:r>
              <w:rPr>
                <w:rFonts w:hint="eastAsia" w:ascii="仿宋_GB2312" w:hAnsi="宋体" w:eastAsia="仿宋_GB2312" w:cs="宋体"/>
                <w:kern w:val="0"/>
                <w:sz w:val="20"/>
                <w:szCs w:val="20"/>
              </w:rPr>
              <w:t>分）</w:t>
            </w:r>
          </w:p>
        </w:tc>
        <w:tc>
          <w:tcPr>
            <w:tcW w:w="772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近三年类似项目业绩（需提供合同复印件或成交通知书）每个合同得2分，最高得6分。说明：以合同签署日期或者中标通知书落款时间为准，未提供或不符合以上条件不得分。</w:t>
            </w:r>
          </w:p>
        </w:tc>
      </w:tr>
      <w:tr>
        <w:tblPrEx>
          <w:tblCellMar>
            <w:top w:w="0" w:type="dxa"/>
            <w:left w:w="108" w:type="dxa"/>
            <w:bottom w:w="0" w:type="dxa"/>
            <w:right w:w="108" w:type="dxa"/>
          </w:tblCellMar>
        </w:tblPrEx>
        <w:trPr>
          <w:trHeight w:val="336" w:hRule="atLeast"/>
          <w:jc w:val="center"/>
        </w:trPr>
        <w:tc>
          <w:tcPr>
            <w:tcW w:w="9125"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560" w:lineRule="exact"/>
              <w:rPr>
                <w:rFonts w:hint="eastAsia" w:ascii="仿宋_GB2312" w:hAnsi="宋体" w:eastAsia="仿宋_GB2312"/>
                <w:kern w:val="0"/>
                <w:sz w:val="20"/>
                <w:szCs w:val="20"/>
              </w:rPr>
            </w:pPr>
            <w:r>
              <w:rPr>
                <w:rFonts w:hint="eastAsia" w:ascii="仿宋_GB2312" w:hAnsi="宋体" w:eastAsia="仿宋_GB2312"/>
                <w:kern w:val="0"/>
                <w:sz w:val="20"/>
                <w:szCs w:val="20"/>
              </w:rPr>
              <w:t>综合评定分数（100分）　</w:t>
            </w:r>
          </w:p>
        </w:tc>
      </w:tr>
    </w:tbl>
    <w:p>
      <w:r>
        <w:br w:type="page"/>
      </w:r>
    </w:p>
    <w:p>
      <w:pPr>
        <w:pStyle w:val="4"/>
        <w:rPr>
          <w:rFonts w:hint="eastAsia"/>
          <w:b w:val="0"/>
          <w:bCs w:val="0"/>
          <w:sz w:val="28"/>
          <w:szCs w:val="44"/>
          <w:highlight w:val="none"/>
          <w:lang w:eastAsia="zh-CN"/>
        </w:rPr>
      </w:pPr>
      <w:r>
        <w:rPr>
          <w:rFonts w:hint="eastAsia"/>
          <w:b w:val="0"/>
          <w:bCs w:val="0"/>
          <w:sz w:val="28"/>
          <w:szCs w:val="44"/>
          <w:highlight w:val="none"/>
          <w:lang w:eastAsia="zh-CN"/>
        </w:rPr>
        <w:t>附件</w:t>
      </w:r>
      <w:r>
        <w:rPr>
          <w:rFonts w:hint="eastAsia"/>
          <w:b w:val="0"/>
          <w:bCs w:val="0"/>
          <w:sz w:val="28"/>
          <w:szCs w:val="44"/>
          <w:highlight w:val="none"/>
          <w:lang w:val="en-US" w:eastAsia="zh-CN"/>
        </w:rPr>
        <w:t xml:space="preserve"> </w:t>
      </w:r>
      <w:r>
        <w:rPr>
          <w:rFonts w:hint="eastAsia"/>
          <w:b w:val="0"/>
          <w:bCs w:val="0"/>
          <w:sz w:val="28"/>
          <w:szCs w:val="44"/>
          <w:highlight w:val="none"/>
          <w:lang w:eastAsia="zh-CN"/>
        </w:rPr>
        <w:t>合同主要服务条款</w:t>
      </w:r>
    </w:p>
    <w:p>
      <w:pPr>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松江区突发生态环境事件应急预案评估修订服务合同</w:t>
      </w:r>
    </w:p>
    <w:p>
      <w:pPr>
        <w:pageBreakBefore w:val="0"/>
        <w:widowControl/>
        <w:kinsoku/>
        <w:wordWrap/>
        <w:overflowPunct/>
        <w:topLinePunct w:val="0"/>
        <w:autoSpaceDE/>
        <w:autoSpaceDN/>
        <w:bidi w:val="0"/>
        <w:adjustRightInd/>
        <w:snapToGrid/>
        <w:spacing w:line="400" w:lineRule="exact"/>
        <w:textAlignment w:val="auto"/>
        <w:rPr>
          <w:rFonts w:hint="eastAsia" w:ascii="Times New Roman" w:hAnsi="Times New Roman" w:eastAsia="宋体" w:cs="Times New Roman"/>
          <w:bCs/>
          <w:kern w:val="0"/>
          <w:sz w:val="24"/>
          <w:lang w:eastAsia="zh-CN"/>
        </w:rPr>
      </w:pPr>
    </w:p>
    <w:p>
      <w:pPr>
        <w:pageBreakBefore w:val="0"/>
        <w:widowControl/>
        <w:kinsoku/>
        <w:wordWrap/>
        <w:overflowPunct/>
        <w:topLinePunct w:val="0"/>
        <w:autoSpaceDE/>
        <w:autoSpaceDN/>
        <w:bidi w:val="0"/>
        <w:adjustRightInd/>
        <w:snapToGrid/>
        <w:spacing w:line="500" w:lineRule="exact"/>
        <w:ind w:left="0" w:right="0"/>
        <w:textAlignment w:val="auto"/>
        <w:rPr>
          <w:rFonts w:hint="eastAsia" w:asciiTheme="minorEastAsia" w:hAnsiTheme="minorEastAsia" w:eastAsiaTheme="minorEastAsia" w:cstheme="minorEastAsia"/>
          <w:bCs/>
          <w:kern w:val="0"/>
          <w:sz w:val="24"/>
          <w:szCs w:val="24"/>
          <w:lang w:eastAsia="zh-CN"/>
        </w:rPr>
      </w:pPr>
      <w:r>
        <w:rPr>
          <w:rFonts w:hint="eastAsia" w:asciiTheme="minorEastAsia" w:hAnsiTheme="minorEastAsia" w:eastAsiaTheme="minorEastAsia" w:cstheme="minorEastAsia"/>
          <w:bCs/>
          <w:kern w:val="0"/>
          <w:sz w:val="24"/>
          <w:szCs w:val="24"/>
          <w:lang w:eastAsia="zh-CN"/>
        </w:rPr>
        <w:t>委托单位（甲方）：</w:t>
      </w:r>
    </w:p>
    <w:p>
      <w:pPr>
        <w:pageBreakBefore w:val="0"/>
        <w:widowControl/>
        <w:kinsoku/>
        <w:wordWrap/>
        <w:overflowPunct/>
        <w:topLinePunct w:val="0"/>
        <w:autoSpaceDE/>
        <w:autoSpaceDN/>
        <w:bidi w:val="0"/>
        <w:adjustRightInd/>
        <w:snapToGrid/>
        <w:spacing w:line="500" w:lineRule="exact"/>
        <w:ind w:left="0" w:right="0"/>
        <w:textAlignment w:val="auto"/>
        <w:rPr>
          <w:rFonts w:hint="eastAsia" w:asciiTheme="minorEastAsia" w:hAnsiTheme="minorEastAsia" w:eastAsiaTheme="minorEastAsia" w:cstheme="minorEastAsia"/>
          <w:bCs/>
          <w:kern w:val="0"/>
          <w:sz w:val="24"/>
          <w:szCs w:val="24"/>
          <w:lang w:eastAsia="zh-CN"/>
        </w:rPr>
      </w:pPr>
      <w:r>
        <w:rPr>
          <w:rFonts w:hint="eastAsia" w:asciiTheme="minorEastAsia" w:hAnsiTheme="minorEastAsia" w:eastAsiaTheme="minorEastAsia" w:cstheme="minorEastAsia"/>
          <w:bCs/>
          <w:kern w:val="0"/>
          <w:sz w:val="24"/>
          <w:szCs w:val="24"/>
          <w:lang w:eastAsia="zh-CN"/>
        </w:rPr>
        <w:t>地址：</w:t>
      </w:r>
    </w:p>
    <w:p>
      <w:pPr>
        <w:pageBreakBefore w:val="0"/>
        <w:widowControl/>
        <w:kinsoku/>
        <w:wordWrap/>
        <w:overflowPunct/>
        <w:topLinePunct w:val="0"/>
        <w:autoSpaceDE/>
        <w:autoSpaceDN/>
        <w:bidi w:val="0"/>
        <w:adjustRightInd/>
        <w:snapToGrid/>
        <w:spacing w:line="500" w:lineRule="exact"/>
        <w:ind w:left="0" w:right="0"/>
        <w:textAlignment w:val="auto"/>
        <w:rPr>
          <w:rFonts w:hint="eastAsia" w:asciiTheme="minorEastAsia" w:hAnsiTheme="minorEastAsia" w:eastAsiaTheme="minorEastAsia" w:cstheme="minorEastAsia"/>
          <w:bCs/>
          <w:kern w:val="0"/>
          <w:sz w:val="24"/>
          <w:szCs w:val="24"/>
          <w:lang w:eastAsia="zh-CN"/>
        </w:rPr>
      </w:pPr>
      <w:r>
        <w:rPr>
          <w:rFonts w:hint="eastAsia" w:asciiTheme="minorEastAsia" w:hAnsiTheme="minorEastAsia" w:eastAsiaTheme="minorEastAsia" w:cstheme="minorEastAsia"/>
          <w:bCs/>
          <w:kern w:val="0"/>
          <w:sz w:val="24"/>
          <w:szCs w:val="24"/>
          <w:lang w:eastAsia="zh-CN"/>
        </w:rPr>
        <w:t>电话：</w:t>
      </w:r>
    </w:p>
    <w:p>
      <w:pPr>
        <w:pageBreakBefore w:val="0"/>
        <w:widowControl/>
        <w:kinsoku/>
        <w:wordWrap/>
        <w:overflowPunct/>
        <w:topLinePunct w:val="0"/>
        <w:autoSpaceDE/>
        <w:autoSpaceDN/>
        <w:bidi w:val="0"/>
        <w:adjustRightInd/>
        <w:snapToGrid/>
        <w:spacing w:line="500" w:lineRule="exact"/>
        <w:ind w:left="0" w:right="0"/>
        <w:textAlignment w:val="auto"/>
        <w:rPr>
          <w:rFonts w:hint="eastAsia" w:asciiTheme="minorEastAsia" w:hAnsiTheme="minorEastAsia" w:eastAsiaTheme="minorEastAsia" w:cstheme="minorEastAsia"/>
          <w:bCs/>
          <w:kern w:val="0"/>
          <w:sz w:val="24"/>
          <w:szCs w:val="24"/>
          <w:lang w:eastAsia="zh-CN"/>
        </w:rPr>
      </w:pPr>
      <w:r>
        <w:rPr>
          <w:rFonts w:hint="eastAsia" w:asciiTheme="minorEastAsia" w:hAnsiTheme="minorEastAsia" w:eastAsiaTheme="minorEastAsia" w:cstheme="minorEastAsia"/>
          <w:bCs/>
          <w:kern w:val="0"/>
          <w:sz w:val="24"/>
          <w:szCs w:val="24"/>
          <w:lang w:eastAsia="zh-CN"/>
        </w:rPr>
        <w:t>联系人：</w:t>
      </w:r>
    </w:p>
    <w:p>
      <w:pPr>
        <w:pageBreakBefore w:val="0"/>
        <w:widowControl/>
        <w:kinsoku/>
        <w:wordWrap/>
        <w:overflowPunct/>
        <w:topLinePunct w:val="0"/>
        <w:autoSpaceDE/>
        <w:autoSpaceDN/>
        <w:bidi w:val="0"/>
        <w:adjustRightInd/>
        <w:snapToGrid/>
        <w:spacing w:line="500" w:lineRule="exact"/>
        <w:ind w:left="0" w:right="0"/>
        <w:textAlignment w:val="auto"/>
        <w:rPr>
          <w:rFonts w:hint="eastAsia" w:asciiTheme="minorEastAsia" w:hAnsiTheme="minorEastAsia" w:eastAsiaTheme="minorEastAsia" w:cstheme="minorEastAsia"/>
          <w:bCs/>
          <w:kern w:val="0"/>
          <w:sz w:val="24"/>
          <w:szCs w:val="24"/>
          <w:lang w:eastAsia="zh-CN"/>
        </w:rPr>
      </w:pPr>
      <w:r>
        <w:rPr>
          <w:rFonts w:hint="eastAsia" w:asciiTheme="minorEastAsia" w:hAnsiTheme="minorEastAsia" w:eastAsiaTheme="minorEastAsia" w:cstheme="minorEastAsia"/>
          <w:bCs/>
          <w:kern w:val="0"/>
          <w:sz w:val="24"/>
          <w:szCs w:val="24"/>
          <w:lang w:eastAsia="zh-CN"/>
        </w:rPr>
        <w:t>受托单位（乙方）：</w:t>
      </w:r>
    </w:p>
    <w:p>
      <w:pPr>
        <w:pageBreakBefore w:val="0"/>
        <w:widowControl/>
        <w:kinsoku/>
        <w:wordWrap/>
        <w:overflowPunct/>
        <w:topLinePunct w:val="0"/>
        <w:autoSpaceDE/>
        <w:autoSpaceDN/>
        <w:bidi w:val="0"/>
        <w:adjustRightInd/>
        <w:snapToGrid/>
        <w:spacing w:line="500" w:lineRule="exact"/>
        <w:ind w:left="0" w:right="0"/>
        <w:textAlignment w:val="auto"/>
        <w:rPr>
          <w:rFonts w:hint="eastAsia" w:asciiTheme="minorEastAsia" w:hAnsiTheme="minorEastAsia" w:eastAsiaTheme="minorEastAsia" w:cstheme="minorEastAsia"/>
          <w:bCs/>
          <w:kern w:val="0"/>
          <w:sz w:val="24"/>
          <w:szCs w:val="24"/>
          <w:lang w:eastAsia="zh-CN"/>
        </w:rPr>
      </w:pPr>
      <w:r>
        <w:rPr>
          <w:rFonts w:hint="eastAsia" w:asciiTheme="minorEastAsia" w:hAnsiTheme="minorEastAsia" w:eastAsiaTheme="minorEastAsia" w:cstheme="minorEastAsia"/>
          <w:bCs/>
          <w:kern w:val="0"/>
          <w:sz w:val="24"/>
          <w:szCs w:val="24"/>
          <w:lang w:eastAsia="zh-CN"/>
        </w:rPr>
        <w:t>地址：</w:t>
      </w:r>
    </w:p>
    <w:p>
      <w:pPr>
        <w:pageBreakBefore w:val="0"/>
        <w:widowControl/>
        <w:kinsoku/>
        <w:wordWrap/>
        <w:overflowPunct/>
        <w:topLinePunct w:val="0"/>
        <w:autoSpaceDE/>
        <w:autoSpaceDN/>
        <w:bidi w:val="0"/>
        <w:adjustRightInd/>
        <w:snapToGrid/>
        <w:spacing w:line="500" w:lineRule="exact"/>
        <w:ind w:left="0" w:right="0"/>
        <w:textAlignment w:val="auto"/>
        <w:rPr>
          <w:rFonts w:hint="eastAsia" w:asciiTheme="minorEastAsia" w:hAnsiTheme="minorEastAsia" w:eastAsiaTheme="minorEastAsia" w:cstheme="minorEastAsia"/>
          <w:bCs/>
          <w:kern w:val="0"/>
          <w:sz w:val="24"/>
          <w:szCs w:val="24"/>
          <w:lang w:eastAsia="zh-CN"/>
        </w:rPr>
      </w:pPr>
      <w:r>
        <w:rPr>
          <w:rFonts w:hint="eastAsia" w:asciiTheme="minorEastAsia" w:hAnsiTheme="minorEastAsia" w:eastAsiaTheme="minorEastAsia" w:cstheme="minorEastAsia"/>
          <w:bCs/>
          <w:kern w:val="0"/>
          <w:sz w:val="24"/>
          <w:szCs w:val="24"/>
          <w:lang w:eastAsia="zh-CN"/>
        </w:rPr>
        <w:t>电话：</w:t>
      </w:r>
    </w:p>
    <w:p>
      <w:pPr>
        <w:pageBreakBefore w:val="0"/>
        <w:widowControl/>
        <w:kinsoku/>
        <w:wordWrap/>
        <w:overflowPunct/>
        <w:topLinePunct w:val="0"/>
        <w:autoSpaceDE/>
        <w:autoSpaceDN/>
        <w:bidi w:val="0"/>
        <w:adjustRightInd/>
        <w:snapToGrid/>
        <w:spacing w:line="500" w:lineRule="exact"/>
        <w:ind w:left="0" w:right="0"/>
        <w:textAlignment w:val="auto"/>
        <w:rPr>
          <w:rFonts w:hint="eastAsia" w:asciiTheme="minorEastAsia" w:hAnsiTheme="minorEastAsia" w:eastAsiaTheme="minorEastAsia" w:cstheme="minorEastAsia"/>
          <w:bCs/>
          <w:kern w:val="0"/>
          <w:sz w:val="24"/>
          <w:szCs w:val="24"/>
          <w:lang w:eastAsia="zh-CN"/>
        </w:rPr>
      </w:pPr>
      <w:r>
        <w:rPr>
          <w:rFonts w:hint="eastAsia" w:asciiTheme="minorEastAsia" w:hAnsiTheme="minorEastAsia" w:eastAsiaTheme="minorEastAsia" w:cstheme="minorEastAsia"/>
          <w:bCs/>
          <w:kern w:val="0"/>
          <w:sz w:val="24"/>
          <w:szCs w:val="24"/>
          <w:lang w:eastAsia="zh-CN"/>
        </w:rPr>
        <w:t>联系人：</w:t>
      </w:r>
    </w:p>
    <w:p>
      <w:pPr>
        <w:pageBreakBefore w:val="0"/>
        <w:widowControl/>
        <w:kinsoku/>
        <w:wordWrap/>
        <w:overflowPunct/>
        <w:topLinePunct w:val="0"/>
        <w:autoSpaceDE/>
        <w:autoSpaceDN/>
        <w:bidi w:val="0"/>
        <w:adjustRightInd/>
        <w:snapToGrid/>
        <w:spacing w:line="500" w:lineRule="exact"/>
        <w:ind w:left="0" w:right="0" w:firstLine="480" w:firstLineChars="200"/>
        <w:textAlignment w:val="auto"/>
        <w:rPr>
          <w:rFonts w:hint="eastAsia" w:asciiTheme="minorEastAsia" w:hAnsiTheme="minorEastAsia" w:eastAsiaTheme="minorEastAsia" w:cstheme="minorEastAsia"/>
          <w:bCs/>
          <w:kern w:val="0"/>
          <w:sz w:val="24"/>
          <w:szCs w:val="24"/>
          <w:lang w:eastAsia="zh-CN"/>
        </w:rPr>
      </w:pPr>
      <w:r>
        <w:rPr>
          <w:rFonts w:hint="eastAsia" w:asciiTheme="minorEastAsia" w:hAnsiTheme="minorEastAsia" w:eastAsiaTheme="minorEastAsia" w:cstheme="minorEastAsia"/>
          <w:bCs/>
          <w:kern w:val="0"/>
          <w:sz w:val="24"/>
          <w:szCs w:val="24"/>
          <w:lang w:eastAsia="zh-CN"/>
        </w:rPr>
        <w:t>甲乙双方经过平等协商，在真实、充分地表达各自意愿的基础上，根据《中华人民共和国民法典》等法律、法规的规定，经协商一致，就</w:t>
      </w:r>
      <w:r>
        <w:rPr>
          <w:rFonts w:hint="eastAsia" w:asciiTheme="minorEastAsia" w:hAnsiTheme="minorEastAsia" w:eastAsiaTheme="minorEastAsia" w:cstheme="minorEastAsia"/>
          <w:bCs/>
          <w:kern w:val="0"/>
          <w:sz w:val="24"/>
          <w:szCs w:val="24"/>
          <w:u w:val="single"/>
          <w:lang w:eastAsia="zh-CN"/>
        </w:rPr>
        <w:t>松江区突发生态环境事件应急预案评估修订</w:t>
      </w:r>
      <w:r>
        <w:rPr>
          <w:rFonts w:hint="eastAsia" w:asciiTheme="minorEastAsia" w:hAnsiTheme="minorEastAsia" w:eastAsiaTheme="minorEastAsia" w:cstheme="minorEastAsia"/>
          <w:bCs/>
          <w:kern w:val="0"/>
          <w:sz w:val="24"/>
          <w:szCs w:val="24"/>
          <w:lang w:eastAsia="zh-CN"/>
        </w:rPr>
        <w:t>项目的技术服务，约定条款如下：</w:t>
      </w:r>
    </w:p>
    <w:p>
      <w:pPr>
        <w:pStyle w:val="2"/>
        <w:pageBreakBefore w:val="0"/>
        <w:kinsoku/>
        <w:wordWrap/>
        <w:overflowPunct/>
        <w:topLinePunct w:val="0"/>
        <w:autoSpaceDE/>
        <w:autoSpaceDN/>
        <w:bidi w:val="0"/>
        <w:adjustRightInd/>
        <w:snapToGrid/>
        <w:spacing w:line="500" w:lineRule="exact"/>
        <w:ind w:left="0" w:right="0"/>
        <w:textAlignment w:val="auto"/>
        <w:rPr>
          <w:rFonts w:hint="eastAsia" w:asciiTheme="minorEastAsia" w:hAnsiTheme="minorEastAsia" w:eastAsiaTheme="minorEastAsia" w:cstheme="minorEastAsia"/>
          <w:b/>
          <w:bCs w:val="0"/>
          <w:sz w:val="24"/>
          <w:szCs w:val="24"/>
          <w:u w:val="none"/>
          <w:lang w:eastAsia="zh-CN"/>
        </w:rPr>
      </w:pPr>
      <w:r>
        <w:rPr>
          <w:rFonts w:hint="eastAsia" w:asciiTheme="minorEastAsia" w:hAnsiTheme="minorEastAsia" w:eastAsiaTheme="minorEastAsia" w:cstheme="minorEastAsia"/>
          <w:b/>
          <w:bCs w:val="0"/>
          <w:sz w:val="24"/>
          <w:szCs w:val="24"/>
          <w:u w:val="none"/>
        </w:rPr>
        <w:t>一、服务内容、方式和要求：</w:t>
      </w:r>
    </w:p>
    <w:p>
      <w:pPr>
        <w:pStyle w:val="4"/>
        <w:pageBreakBefore w:val="0"/>
        <w:kinsoku/>
        <w:wordWrap/>
        <w:overflowPunct/>
        <w:topLinePunct w:val="0"/>
        <w:autoSpaceDE/>
        <w:autoSpaceDN/>
        <w:bidi w:val="0"/>
        <w:adjustRightInd/>
        <w:snapToGrid/>
        <w:spacing w:before="0" w:after="0" w:line="500" w:lineRule="exact"/>
        <w:ind w:left="0" w:right="0" w:firstLine="480" w:firstLineChars="200"/>
        <w:textAlignment w:val="auto"/>
        <w:rPr>
          <w:rFonts w:hint="eastAsia" w:asciiTheme="minorEastAsia" w:hAnsiTheme="minorEastAsia" w:eastAsiaTheme="minorEastAsia" w:cstheme="minorEastAsia"/>
          <w:b w:val="0"/>
          <w:bCs/>
          <w:kern w:val="0"/>
          <w:sz w:val="24"/>
          <w:szCs w:val="24"/>
          <w:lang w:val="en-US" w:eastAsia="zh-CN" w:bidi="ar-SA"/>
        </w:rPr>
      </w:pPr>
      <w:r>
        <w:rPr>
          <w:rFonts w:hint="eastAsia" w:asciiTheme="minorEastAsia" w:hAnsiTheme="minorEastAsia" w:eastAsiaTheme="minorEastAsia" w:cstheme="minorEastAsia"/>
          <w:b w:val="0"/>
          <w:bCs/>
          <w:kern w:val="0"/>
          <w:sz w:val="24"/>
          <w:szCs w:val="24"/>
          <w:lang w:val="en-US" w:eastAsia="zh-CN" w:bidi="ar-SA"/>
        </w:rPr>
        <w:t>根据国家相关法律法规和技术指南要求，甲方委托乙方提供</w:t>
      </w:r>
      <w:r>
        <w:rPr>
          <w:rFonts w:hint="eastAsia" w:asciiTheme="minorEastAsia" w:hAnsiTheme="minorEastAsia" w:eastAsiaTheme="minorEastAsia" w:cstheme="minorEastAsia"/>
          <w:b w:val="0"/>
          <w:bCs/>
          <w:kern w:val="0"/>
          <w:sz w:val="24"/>
          <w:szCs w:val="24"/>
          <w:u w:val="single"/>
          <w:lang w:val="en-US" w:eastAsia="zh-CN" w:bidi="ar-SA"/>
        </w:rPr>
        <w:t>松江区突发生态环境事件应急预案评估修订服务</w:t>
      </w:r>
      <w:r>
        <w:rPr>
          <w:rFonts w:hint="eastAsia" w:asciiTheme="minorEastAsia" w:hAnsiTheme="minorEastAsia" w:eastAsiaTheme="minorEastAsia" w:cstheme="minorEastAsia"/>
          <w:b w:val="0"/>
          <w:bCs/>
          <w:kern w:val="0"/>
          <w:sz w:val="24"/>
          <w:szCs w:val="24"/>
          <w:lang w:val="en-US" w:eastAsia="zh-CN" w:bidi="ar-SA"/>
        </w:rPr>
        <w:t>，具体包括完成现场调查、环境风险评估、应急资源调查、案例分析报告、预案评估情况报告、预案文本及编制说明、专家评审及配合完成报批备案。</w:t>
      </w:r>
    </w:p>
    <w:p>
      <w:pPr>
        <w:pStyle w:val="2"/>
        <w:pageBreakBefore w:val="0"/>
        <w:kinsoku/>
        <w:wordWrap/>
        <w:overflowPunct/>
        <w:topLinePunct w:val="0"/>
        <w:autoSpaceDE/>
        <w:autoSpaceDN/>
        <w:bidi w:val="0"/>
        <w:adjustRightInd/>
        <w:snapToGrid/>
        <w:spacing w:line="500" w:lineRule="exact"/>
        <w:ind w:left="0" w:right="0"/>
        <w:textAlignment w:val="auto"/>
        <w:rPr>
          <w:rFonts w:hint="eastAsia" w:asciiTheme="minorEastAsia" w:hAnsiTheme="minorEastAsia" w:eastAsiaTheme="minorEastAsia" w:cstheme="minorEastAsia"/>
          <w:b/>
          <w:bCs w:val="0"/>
          <w:sz w:val="24"/>
          <w:szCs w:val="24"/>
          <w:u w:val="none"/>
          <w:lang w:val="en-US" w:eastAsia="zh-CN"/>
        </w:rPr>
      </w:pPr>
      <w:r>
        <w:rPr>
          <w:rFonts w:hint="eastAsia" w:asciiTheme="minorEastAsia" w:hAnsiTheme="minorEastAsia" w:eastAsiaTheme="minorEastAsia" w:cstheme="minorEastAsia"/>
          <w:b/>
          <w:bCs w:val="0"/>
          <w:sz w:val="24"/>
          <w:szCs w:val="24"/>
          <w:u w:val="none"/>
          <w:lang w:val="en-US" w:eastAsia="zh-CN"/>
        </w:rPr>
        <w:t>二、权利和义务：</w:t>
      </w:r>
    </w:p>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 w:val="0"/>
          <w:bCs/>
          <w:kern w:val="0"/>
          <w:sz w:val="24"/>
          <w:szCs w:val="24"/>
          <w:lang w:val="en-US" w:eastAsia="zh-CN" w:bidi="ar-SA"/>
        </w:rPr>
      </w:pPr>
      <w:r>
        <w:rPr>
          <w:rFonts w:hint="eastAsia" w:asciiTheme="minorEastAsia" w:hAnsiTheme="minorEastAsia" w:eastAsiaTheme="minorEastAsia" w:cstheme="minorEastAsia"/>
          <w:b w:val="0"/>
          <w:bCs/>
          <w:kern w:val="0"/>
          <w:sz w:val="24"/>
          <w:szCs w:val="24"/>
          <w:lang w:val="en-US" w:eastAsia="zh-CN" w:bidi="ar-SA"/>
        </w:rPr>
        <w:t>1.甲方:</w:t>
      </w:r>
    </w:p>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 w:val="0"/>
          <w:bCs/>
          <w:kern w:val="0"/>
          <w:sz w:val="24"/>
          <w:szCs w:val="24"/>
          <w:lang w:val="en-US" w:eastAsia="zh-CN" w:bidi="ar-SA"/>
        </w:rPr>
      </w:pPr>
      <w:r>
        <w:rPr>
          <w:rFonts w:hint="eastAsia" w:asciiTheme="minorEastAsia" w:hAnsiTheme="minorEastAsia" w:eastAsiaTheme="minorEastAsia" w:cstheme="minorEastAsia"/>
          <w:b w:val="0"/>
          <w:bCs/>
          <w:kern w:val="0"/>
          <w:sz w:val="24"/>
          <w:szCs w:val="24"/>
          <w:lang w:val="en-US" w:eastAsia="zh-CN" w:bidi="ar-SA"/>
        </w:rPr>
        <w:t>1)提供乙方所需的技术资料；</w:t>
      </w:r>
    </w:p>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 w:val="0"/>
          <w:bCs/>
          <w:kern w:val="0"/>
          <w:sz w:val="24"/>
          <w:szCs w:val="24"/>
          <w:lang w:val="en-US" w:eastAsia="zh-CN" w:bidi="ar-SA"/>
        </w:rPr>
      </w:pPr>
      <w:r>
        <w:rPr>
          <w:rFonts w:hint="eastAsia" w:asciiTheme="minorEastAsia" w:hAnsiTheme="minorEastAsia" w:eastAsiaTheme="minorEastAsia" w:cstheme="minorEastAsia"/>
          <w:b w:val="0"/>
          <w:bCs/>
          <w:kern w:val="0"/>
          <w:sz w:val="24"/>
          <w:szCs w:val="24"/>
          <w:lang w:val="en-US" w:eastAsia="zh-CN" w:bidi="ar-SA"/>
        </w:rPr>
        <w:t>2)监督乙方工作的执行，定期听取乙方工作进展的汇报，对乙方的工作进行验收，若乙方工作效果不理想或者工作不符合标准的，甲方有权指出乙方工作中的不足，若乙方不及时纠正，甲方有权单方面终止合同，因此而产生的一切损失由乙方承担。</w:t>
      </w:r>
    </w:p>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 w:val="0"/>
          <w:bCs/>
          <w:kern w:val="0"/>
          <w:sz w:val="24"/>
          <w:szCs w:val="24"/>
          <w:lang w:val="en-US" w:eastAsia="zh-CN" w:bidi="ar-SA"/>
        </w:rPr>
      </w:pPr>
      <w:r>
        <w:rPr>
          <w:rFonts w:hint="eastAsia" w:asciiTheme="minorEastAsia" w:hAnsiTheme="minorEastAsia" w:eastAsiaTheme="minorEastAsia" w:cstheme="minorEastAsia"/>
          <w:b w:val="0"/>
          <w:bCs/>
          <w:kern w:val="0"/>
          <w:sz w:val="24"/>
          <w:szCs w:val="24"/>
          <w:lang w:val="en-US" w:eastAsia="zh-CN" w:bidi="ar-SA"/>
        </w:rPr>
        <w:t xml:space="preserve">2.乙方: </w:t>
      </w:r>
    </w:p>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 w:val="0"/>
          <w:bCs/>
          <w:kern w:val="0"/>
          <w:sz w:val="24"/>
          <w:szCs w:val="24"/>
          <w:lang w:val="en-US" w:eastAsia="zh-CN" w:bidi="ar-SA"/>
        </w:rPr>
      </w:pPr>
      <w:r>
        <w:rPr>
          <w:rFonts w:hint="eastAsia" w:asciiTheme="minorEastAsia" w:hAnsiTheme="minorEastAsia" w:eastAsiaTheme="minorEastAsia" w:cstheme="minorEastAsia"/>
          <w:b w:val="0"/>
          <w:bCs/>
          <w:kern w:val="0"/>
          <w:sz w:val="24"/>
          <w:szCs w:val="24"/>
          <w:lang w:val="en-US" w:eastAsia="zh-CN" w:bidi="ar-SA"/>
        </w:rPr>
        <w:t>1)乙方须对甲方提供的资料履行保密义务，不得将合同转包；</w:t>
      </w:r>
    </w:p>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 w:val="0"/>
          <w:bCs/>
          <w:kern w:val="0"/>
          <w:sz w:val="24"/>
          <w:szCs w:val="24"/>
          <w:lang w:val="en-US" w:eastAsia="zh-CN" w:bidi="ar-SA"/>
        </w:rPr>
      </w:pPr>
      <w:r>
        <w:rPr>
          <w:rFonts w:hint="eastAsia" w:asciiTheme="minorEastAsia" w:hAnsiTheme="minorEastAsia" w:eastAsiaTheme="minorEastAsia" w:cstheme="minorEastAsia"/>
          <w:b w:val="0"/>
          <w:bCs/>
          <w:kern w:val="0"/>
          <w:sz w:val="24"/>
          <w:szCs w:val="24"/>
          <w:lang w:val="en-US" w:eastAsia="zh-CN" w:bidi="ar-SA"/>
        </w:rPr>
        <w:t>2)根据甲方要求，于10月底前完成松江区突发生态环境事件应急预案评估工作并提交成果材料，于12月底前完成松江区突发生态环境事件应急预案修订并提交成果材料，并配合完成预案报批、备案等工作。</w:t>
      </w:r>
    </w:p>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 w:val="0"/>
          <w:bCs/>
          <w:kern w:val="0"/>
          <w:sz w:val="24"/>
          <w:szCs w:val="24"/>
          <w:lang w:val="en-US" w:eastAsia="zh-CN" w:bidi="ar-SA"/>
        </w:rPr>
      </w:pPr>
      <w:r>
        <w:rPr>
          <w:rFonts w:hint="eastAsia" w:asciiTheme="minorEastAsia" w:hAnsiTheme="minorEastAsia" w:eastAsiaTheme="minorEastAsia" w:cstheme="minorEastAsia"/>
          <w:b w:val="0"/>
          <w:bCs/>
          <w:kern w:val="0"/>
          <w:sz w:val="24"/>
          <w:szCs w:val="24"/>
          <w:lang w:val="en-US" w:eastAsia="zh-CN" w:bidi="ar-SA"/>
        </w:rPr>
        <w:t>3)定期向甲方汇报工作进展。</w:t>
      </w:r>
    </w:p>
    <w:p>
      <w:pPr>
        <w:pStyle w:val="2"/>
        <w:pageBreakBefore w:val="0"/>
        <w:kinsoku/>
        <w:wordWrap/>
        <w:overflowPunct/>
        <w:topLinePunct w:val="0"/>
        <w:autoSpaceDE/>
        <w:autoSpaceDN/>
        <w:bidi w:val="0"/>
        <w:adjustRightInd/>
        <w:snapToGrid/>
        <w:spacing w:line="500" w:lineRule="exact"/>
        <w:ind w:left="0" w:right="0"/>
        <w:textAlignment w:val="auto"/>
        <w:rPr>
          <w:rFonts w:hint="eastAsia" w:asciiTheme="minorEastAsia" w:hAnsiTheme="minorEastAsia" w:eastAsiaTheme="minorEastAsia" w:cstheme="minorEastAsia"/>
          <w:b/>
          <w:bCs w:val="0"/>
          <w:sz w:val="24"/>
          <w:szCs w:val="24"/>
          <w:u w:val="none"/>
          <w:lang w:val="en-US" w:eastAsia="zh-CN"/>
        </w:rPr>
      </w:pPr>
      <w:r>
        <w:rPr>
          <w:rFonts w:hint="eastAsia" w:asciiTheme="minorEastAsia" w:hAnsiTheme="minorEastAsia" w:eastAsiaTheme="minorEastAsia" w:cstheme="minorEastAsia"/>
          <w:b/>
          <w:bCs w:val="0"/>
          <w:sz w:val="24"/>
          <w:szCs w:val="24"/>
          <w:u w:val="none"/>
          <w:lang w:val="en-US" w:eastAsia="zh-CN"/>
        </w:rPr>
        <w:t>三、履行期限和地点：</w:t>
      </w:r>
    </w:p>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 w:val="0"/>
          <w:bCs/>
          <w:kern w:val="0"/>
          <w:sz w:val="24"/>
          <w:szCs w:val="24"/>
          <w:lang w:val="en-US" w:eastAsia="zh-CN" w:bidi="ar-SA"/>
        </w:rPr>
      </w:pPr>
      <w:r>
        <w:rPr>
          <w:rFonts w:hint="eastAsia" w:asciiTheme="minorEastAsia" w:hAnsiTheme="minorEastAsia" w:eastAsiaTheme="minorEastAsia" w:cstheme="minorEastAsia"/>
          <w:b w:val="0"/>
          <w:bCs/>
          <w:kern w:val="0"/>
          <w:sz w:val="24"/>
          <w:szCs w:val="24"/>
          <w:lang w:val="en-US" w:eastAsia="zh-CN" w:bidi="ar-SA"/>
        </w:rPr>
        <w:t>本合同服务期限为自签订之日起至2026年12月31日止。</w:t>
      </w:r>
    </w:p>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 w:val="0"/>
          <w:bCs/>
          <w:kern w:val="0"/>
          <w:sz w:val="24"/>
          <w:szCs w:val="24"/>
          <w:lang w:val="en-US" w:eastAsia="zh-CN" w:bidi="ar-SA"/>
        </w:rPr>
      </w:pPr>
      <w:r>
        <w:rPr>
          <w:rFonts w:hint="eastAsia" w:asciiTheme="minorEastAsia" w:hAnsiTheme="minorEastAsia" w:eastAsiaTheme="minorEastAsia" w:cstheme="minorEastAsia"/>
          <w:b w:val="0"/>
          <w:bCs/>
          <w:kern w:val="0"/>
          <w:sz w:val="24"/>
          <w:szCs w:val="24"/>
          <w:lang w:val="en-US" w:eastAsia="zh-CN" w:bidi="ar-SA"/>
        </w:rPr>
        <w:t>履行地点：上海市松江区。</w:t>
      </w:r>
    </w:p>
    <w:p>
      <w:pPr>
        <w:pStyle w:val="3"/>
        <w:pageBreakBefore w:val="0"/>
        <w:numPr>
          <w:ilvl w:val="0"/>
          <w:numId w:val="0"/>
        </w:numPr>
        <w:kinsoku/>
        <w:wordWrap/>
        <w:overflowPunct/>
        <w:topLinePunct w:val="0"/>
        <w:autoSpaceDE/>
        <w:autoSpaceDN/>
        <w:bidi w:val="0"/>
        <w:adjustRightInd/>
        <w:snapToGrid/>
        <w:spacing w:before="0" w:line="500" w:lineRule="exact"/>
        <w:ind w:leftChars="0" w:right="0"/>
        <w:textAlignment w:val="auto"/>
        <w:rPr>
          <w:rFonts w:hint="eastAsia" w:asciiTheme="minorEastAsia" w:hAnsiTheme="minorEastAsia" w:eastAsiaTheme="minorEastAsia" w:cstheme="minorEastAsia"/>
          <w:b/>
          <w:bCs w:val="0"/>
          <w:kern w:val="2"/>
          <w:sz w:val="24"/>
          <w:szCs w:val="24"/>
          <w:u w:val="none"/>
          <w:lang w:val="en-US" w:eastAsia="zh-CN" w:bidi="ar-SA"/>
        </w:rPr>
      </w:pPr>
      <w:r>
        <w:rPr>
          <w:rFonts w:hint="eastAsia" w:asciiTheme="minorEastAsia" w:hAnsiTheme="minorEastAsia" w:eastAsiaTheme="minorEastAsia" w:cstheme="minorEastAsia"/>
          <w:b/>
          <w:bCs w:val="0"/>
          <w:kern w:val="2"/>
          <w:sz w:val="24"/>
          <w:szCs w:val="24"/>
          <w:u w:val="none"/>
          <w:lang w:val="en-US" w:eastAsia="zh-CN" w:bidi="ar-SA"/>
        </w:rPr>
        <w:t>四、验收标准和方式：</w:t>
      </w:r>
    </w:p>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 w:val="0"/>
          <w:bCs/>
          <w:kern w:val="0"/>
          <w:sz w:val="24"/>
          <w:szCs w:val="24"/>
          <w:lang w:val="en-US" w:eastAsia="zh-CN" w:bidi="ar-SA"/>
        </w:rPr>
      </w:pPr>
      <w:r>
        <w:rPr>
          <w:rFonts w:hint="eastAsia" w:asciiTheme="minorEastAsia" w:hAnsiTheme="minorEastAsia" w:eastAsiaTheme="minorEastAsia" w:cstheme="minorEastAsia"/>
          <w:b w:val="0"/>
          <w:bCs/>
          <w:kern w:val="0"/>
          <w:sz w:val="24"/>
          <w:szCs w:val="24"/>
          <w:lang w:val="en-US" w:eastAsia="zh-CN" w:bidi="ar-SA"/>
        </w:rPr>
        <w:t>乙方按国家有关环保标准提供技术服务，完成松江区突发生态环境事件应急预案评估修订相关工作并提交成果材料。项目成果通过松江区生态环境局购买服务项目考核。</w:t>
      </w:r>
    </w:p>
    <w:p>
      <w:pPr>
        <w:pStyle w:val="3"/>
        <w:pageBreakBefore w:val="0"/>
        <w:numPr>
          <w:ilvl w:val="0"/>
          <w:numId w:val="0"/>
        </w:numPr>
        <w:kinsoku/>
        <w:wordWrap/>
        <w:overflowPunct/>
        <w:topLinePunct w:val="0"/>
        <w:autoSpaceDE/>
        <w:autoSpaceDN/>
        <w:bidi w:val="0"/>
        <w:adjustRightInd/>
        <w:snapToGrid/>
        <w:spacing w:before="0" w:line="500" w:lineRule="exact"/>
        <w:ind w:leftChars="0" w:right="0"/>
        <w:textAlignment w:val="auto"/>
        <w:rPr>
          <w:rFonts w:hint="eastAsia" w:asciiTheme="minorEastAsia" w:hAnsiTheme="minorEastAsia" w:eastAsiaTheme="minorEastAsia" w:cstheme="minorEastAsia"/>
          <w:b/>
          <w:bCs w:val="0"/>
          <w:kern w:val="2"/>
          <w:sz w:val="24"/>
          <w:szCs w:val="24"/>
          <w:u w:val="none"/>
          <w:lang w:val="en-US" w:eastAsia="zh-CN" w:bidi="ar-SA"/>
        </w:rPr>
      </w:pPr>
      <w:r>
        <w:rPr>
          <w:rFonts w:hint="eastAsia" w:asciiTheme="minorEastAsia" w:hAnsiTheme="minorEastAsia" w:eastAsiaTheme="minorEastAsia" w:cstheme="minorEastAsia"/>
          <w:b/>
          <w:bCs w:val="0"/>
          <w:kern w:val="2"/>
          <w:sz w:val="24"/>
          <w:szCs w:val="24"/>
          <w:u w:val="none"/>
          <w:lang w:val="en-US" w:eastAsia="zh-CN" w:bidi="ar-SA"/>
        </w:rPr>
        <w:t>五、成交金额及其支付方式：</w:t>
      </w:r>
    </w:p>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w:t>
      </w:r>
      <w:r>
        <w:rPr>
          <w:rFonts w:hint="eastAsia" w:asciiTheme="minorEastAsia" w:hAnsiTheme="minorEastAsia" w:eastAsiaTheme="minorEastAsia" w:cstheme="minorEastAsia"/>
          <w:bCs/>
          <w:sz w:val="24"/>
          <w:szCs w:val="24"/>
          <w:lang w:val="en-US" w:eastAsia="zh-CN"/>
        </w:rPr>
        <w:t>.</w:t>
      </w:r>
      <w:r>
        <w:rPr>
          <w:rFonts w:hint="eastAsia" w:asciiTheme="minorEastAsia" w:hAnsiTheme="minorEastAsia" w:eastAsiaTheme="minorEastAsia" w:cstheme="minorEastAsia"/>
          <w:bCs/>
          <w:sz w:val="24"/>
          <w:szCs w:val="24"/>
        </w:rPr>
        <w:t>本项目总金额</w:t>
      </w:r>
      <w:r>
        <w:rPr>
          <w:rFonts w:hint="eastAsia" w:asciiTheme="minorEastAsia" w:hAnsiTheme="minorEastAsia" w:eastAsiaTheme="minorEastAsia" w:cstheme="minorEastAsia"/>
          <w:sz w:val="24"/>
          <w:szCs w:val="24"/>
        </w:rPr>
        <w:t>：人民币</w:t>
      </w:r>
      <w:r>
        <w:rPr>
          <w:rFonts w:hint="eastAsia" w:asciiTheme="minorEastAsia" w:hAnsiTheme="minorEastAsia" w:eastAsiaTheme="minorEastAsia" w:cstheme="minorEastAsia"/>
          <w:sz w:val="24"/>
          <w:szCs w:val="24"/>
          <w:u w:val="single"/>
        </w:rPr>
        <w:t>￥</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大写金额：</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Cs/>
          <w:sz w:val="24"/>
          <w:szCs w:val="24"/>
          <w:u w:val="single"/>
        </w:rPr>
        <w:t>（含税）</w:t>
      </w:r>
      <w:r>
        <w:rPr>
          <w:rFonts w:hint="eastAsia" w:asciiTheme="minorEastAsia" w:hAnsiTheme="minorEastAsia" w:eastAsiaTheme="minorEastAsia" w:cstheme="minorEastAsia"/>
          <w:bCs/>
          <w:sz w:val="24"/>
          <w:szCs w:val="24"/>
        </w:rPr>
        <w:t>。</w:t>
      </w:r>
    </w:p>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w:t>
      </w:r>
      <w:r>
        <w:rPr>
          <w:rFonts w:hint="eastAsia" w:asciiTheme="minorEastAsia" w:hAnsiTheme="minorEastAsia" w:eastAsiaTheme="minorEastAsia" w:cstheme="minorEastAsia"/>
          <w:bCs/>
          <w:sz w:val="24"/>
          <w:szCs w:val="24"/>
          <w:lang w:val="en-US" w:eastAsia="zh-CN"/>
        </w:rPr>
        <w:t>.</w:t>
      </w:r>
      <w:r>
        <w:rPr>
          <w:rFonts w:hint="eastAsia" w:asciiTheme="minorEastAsia" w:hAnsiTheme="minorEastAsia" w:eastAsiaTheme="minorEastAsia" w:cstheme="minorEastAsia"/>
          <w:bCs/>
          <w:sz w:val="24"/>
          <w:szCs w:val="24"/>
        </w:rPr>
        <w:t>支付方式：采用以下第</w:t>
      </w:r>
      <w:r>
        <w:rPr>
          <w:rFonts w:hint="eastAsia" w:asciiTheme="minorEastAsia" w:hAnsiTheme="minorEastAsia" w:eastAsiaTheme="minorEastAsia" w:cstheme="minorEastAsia"/>
          <w:bCs/>
          <w:sz w:val="24"/>
          <w:szCs w:val="24"/>
          <w:u w:val="single"/>
        </w:rPr>
        <w:t xml:space="preserve"> ② </w:t>
      </w:r>
      <w:r>
        <w:rPr>
          <w:rFonts w:hint="eastAsia" w:asciiTheme="minorEastAsia" w:hAnsiTheme="minorEastAsia" w:eastAsiaTheme="minorEastAsia" w:cstheme="minorEastAsia"/>
          <w:bCs/>
          <w:sz w:val="24"/>
          <w:szCs w:val="24"/>
        </w:rPr>
        <w:t>种方式</w:t>
      </w:r>
    </w:p>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①一次总付：</w:t>
      </w:r>
      <w:r>
        <w:rPr>
          <w:rFonts w:hint="eastAsia" w:asciiTheme="minorEastAsia" w:hAnsiTheme="minorEastAsia" w:eastAsiaTheme="minorEastAsia" w:cstheme="minorEastAsia"/>
          <w:sz w:val="24"/>
          <w:szCs w:val="24"/>
        </w:rPr>
        <w:t>人民币</w:t>
      </w:r>
      <w:r>
        <w:rPr>
          <w:rFonts w:hint="eastAsia" w:asciiTheme="minorEastAsia" w:hAnsiTheme="minorEastAsia" w:eastAsiaTheme="minorEastAsia" w:cstheme="minorEastAsia"/>
          <w:sz w:val="24"/>
          <w:szCs w:val="24"/>
          <w:u w:val="single"/>
        </w:rPr>
        <w:t xml:space="preserve">    /       </w:t>
      </w:r>
      <w:r>
        <w:rPr>
          <w:rFonts w:hint="eastAsia" w:asciiTheme="minorEastAsia" w:hAnsiTheme="minorEastAsia" w:eastAsiaTheme="minorEastAsia" w:cstheme="minorEastAsia"/>
          <w:sz w:val="24"/>
          <w:szCs w:val="24"/>
        </w:rPr>
        <w:t>整（¥</w:t>
      </w:r>
      <w:r>
        <w:rPr>
          <w:rFonts w:hint="eastAsia" w:asciiTheme="minorEastAsia" w:hAnsiTheme="minorEastAsia" w:eastAsiaTheme="minorEastAsia" w:cstheme="minorEastAsia"/>
          <w:sz w:val="24"/>
          <w:szCs w:val="24"/>
          <w:u w:val="single"/>
        </w:rPr>
        <w:t xml:space="preserve">     /    </w:t>
      </w:r>
      <w:r>
        <w:rPr>
          <w:rFonts w:hint="eastAsia" w:asciiTheme="minorEastAsia" w:hAnsiTheme="minorEastAsia" w:eastAsiaTheme="minorEastAsia" w:cstheme="minorEastAsia"/>
          <w:sz w:val="24"/>
          <w:szCs w:val="24"/>
        </w:rPr>
        <w:t>元）</w:t>
      </w:r>
    </w:p>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②分批支付：按照考核分</w:t>
      </w:r>
      <w:r>
        <w:rPr>
          <w:rFonts w:hint="eastAsia" w:asciiTheme="minorEastAsia" w:hAnsiTheme="minorEastAsia" w:eastAsiaTheme="minorEastAsia" w:cstheme="minorEastAsia"/>
          <w:bCs/>
          <w:sz w:val="24"/>
          <w:szCs w:val="24"/>
          <w:u w:val="single"/>
        </w:rPr>
        <w:t xml:space="preserve">  两  </w:t>
      </w:r>
      <w:r>
        <w:rPr>
          <w:rFonts w:hint="eastAsia" w:asciiTheme="minorEastAsia" w:hAnsiTheme="minorEastAsia" w:eastAsiaTheme="minorEastAsia" w:cstheme="minorEastAsia"/>
          <w:bCs/>
          <w:sz w:val="24"/>
          <w:szCs w:val="24"/>
        </w:rPr>
        <w:t>批次付款，2026年10月底前完成《松江区突发生态环境事件应急预案》评估情况报告，通过松江区生态环境局购买服务项目考核，支付50%合同款。2026年12月底前完成《松江区突发生态环境事件应急预案》、《松江区突发生态环境事件应急预案编制说明》，并配合完成预案报批、备案等工作，通过松江区生态环境局购买服务项目考核，支付50%合同款（2027年支付）。</w:t>
      </w:r>
    </w:p>
    <w:p>
      <w:pPr>
        <w:pageBreakBefore w:val="0"/>
        <w:kinsoku/>
        <w:wordWrap/>
        <w:overflowPunct/>
        <w:topLinePunct w:val="0"/>
        <w:autoSpaceDE/>
        <w:autoSpaceDN/>
        <w:bidi w:val="0"/>
        <w:adjustRightInd/>
        <w:snapToGrid/>
        <w:spacing w:line="500" w:lineRule="exact"/>
        <w:ind w:right="0"/>
        <w:textAlignment w:val="auto"/>
        <w:rPr>
          <w:rFonts w:hint="eastAsia" w:asciiTheme="minorEastAsia" w:hAnsiTheme="minorEastAsia" w:eastAsiaTheme="minorEastAsia" w:cstheme="minorEastAsia"/>
          <w:b/>
          <w:bCs w:val="0"/>
          <w:kern w:val="2"/>
          <w:sz w:val="24"/>
          <w:szCs w:val="24"/>
          <w:u w:val="none"/>
          <w:lang w:val="en-US" w:eastAsia="zh-CN" w:bidi="ar-SA"/>
        </w:rPr>
      </w:pPr>
      <w:r>
        <w:rPr>
          <w:rFonts w:hint="eastAsia" w:asciiTheme="minorEastAsia" w:hAnsiTheme="minorEastAsia" w:eastAsiaTheme="minorEastAsia" w:cstheme="minorEastAsia"/>
          <w:b/>
          <w:bCs w:val="0"/>
          <w:kern w:val="2"/>
          <w:sz w:val="24"/>
          <w:szCs w:val="24"/>
          <w:u w:val="none"/>
          <w:lang w:val="en-US" w:eastAsia="zh-CN" w:bidi="ar-SA"/>
        </w:rPr>
        <w:t>六、违约责任：</w:t>
      </w:r>
    </w:p>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若乙方未按照本合同履行义务的，甲方有权单方面解除合同，乙方应按剩余服务期限等比例退还甲方已支付的服务费用，乙方违约造成甲方损失的，还应当予以赔偿。</w:t>
      </w:r>
    </w:p>
    <w:p>
      <w:pPr>
        <w:pageBreakBefore w:val="0"/>
        <w:kinsoku/>
        <w:wordWrap/>
        <w:overflowPunct/>
        <w:topLinePunct w:val="0"/>
        <w:autoSpaceDE/>
        <w:autoSpaceDN/>
        <w:bidi w:val="0"/>
        <w:adjustRightInd/>
        <w:snapToGrid/>
        <w:spacing w:line="500" w:lineRule="exact"/>
        <w:ind w:right="0"/>
        <w:textAlignment w:val="auto"/>
        <w:rPr>
          <w:rFonts w:hint="eastAsia" w:asciiTheme="minorEastAsia" w:hAnsiTheme="minorEastAsia" w:eastAsiaTheme="minorEastAsia" w:cstheme="minorEastAsia"/>
          <w:b/>
          <w:bCs w:val="0"/>
          <w:kern w:val="2"/>
          <w:sz w:val="24"/>
          <w:szCs w:val="24"/>
          <w:u w:val="none"/>
          <w:lang w:val="en-US" w:eastAsia="zh-CN" w:bidi="ar-SA"/>
        </w:rPr>
      </w:pPr>
      <w:r>
        <w:rPr>
          <w:rFonts w:hint="eastAsia" w:asciiTheme="minorEastAsia" w:hAnsiTheme="minorEastAsia" w:eastAsiaTheme="minorEastAsia" w:cstheme="minorEastAsia"/>
          <w:b/>
          <w:bCs w:val="0"/>
          <w:kern w:val="2"/>
          <w:sz w:val="24"/>
          <w:szCs w:val="24"/>
          <w:u w:val="none"/>
          <w:lang w:val="en-US" w:eastAsia="zh-CN" w:bidi="ar-SA"/>
        </w:rPr>
        <w:t>七、解决合同纠纷的方式：</w:t>
      </w:r>
    </w:p>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在履行本合同过程中发生争议，当事人双方可以协商，通过和解或者调解解决。当事人不愿协商、和解、调解或者和解、调解不成，采用以下第（二）种方式解决。</w:t>
      </w:r>
    </w:p>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（一）双方同意由</w:t>
      </w:r>
      <w:r>
        <w:rPr>
          <w:rFonts w:hint="eastAsia" w:asciiTheme="minorEastAsia" w:hAnsiTheme="minorEastAsia" w:eastAsiaTheme="minorEastAsia" w:cstheme="minorEastAsia"/>
          <w:bCs/>
          <w:sz w:val="24"/>
          <w:szCs w:val="24"/>
          <w:u w:val="single"/>
          <w:lang w:val="en-US" w:eastAsia="zh-CN"/>
        </w:rPr>
        <w:t xml:space="preserve">   /   </w:t>
      </w:r>
      <w:r>
        <w:rPr>
          <w:rFonts w:hint="eastAsia" w:asciiTheme="minorEastAsia" w:hAnsiTheme="minorEastAsia" w:eastAsiaTheme="minorEastAsia" w:cstheme="minorEastAsia"/>
          <w:bCs/>
          <w:sz w:val="24"/>
          <w:szCs w:val="24"/>
          <w:lang w:val="en-US" w:eastAsia="zh-CN"/>
        </w:rPr>
        <w:t>仲裁委员会仲裁。</w:t>
      </w:r>
    </w:p>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（二）向人民法院起诉，约定</w:t>
      </w:r>
      <w:r>
        <w:rPr>
          <w:rFonts w:hint="eastAsia" w:asciiTheme="minorEastAsia" w:hAnsiTheme="minorEastAsia" w:eastAsiaTheme="minorEastAsia" w:cstheme="minorEastAsia"/>
          <w:bCs/>
          <w:sz w:val="24"/>
          <w:szCs w:val="24"/>
          <w:u w:val="single"/>
          <w:lang w:val="en-US" w:eastAsia="zh-CN"/>
        </w:rPr>
        <w:t xml:space="preserve">  ②  </w:t>
      </w:r>
      <w:r>
        <w:rPr>
          <w:rFonts w:hint="eastAsia" w:asciiTheme="minorEastAsia" w:hAnsiTheme="minorEastAsia" w:eastAsiaTheme="minorEastAsia" w:cstheme="minorEastAsia"/>
          <w:bCs/>
          <w:sz w:val="24"/>
          <w:szCs w:val="24"/>
          <w:lang w:val="en-US" w:eastAsia="zh-CN"/>
        </w:rPr>
        <w:t>人民法院管辖。</w:t>
      </w:r>
    </w:p>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①被告住所地   ②合同履行地   ③合同签订地</w:t>
      </w:r>
    </w:p>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④原告住所地   ⑤标的物所在地</w:t>
      </w:r>
    </w:p>
    <w:p>
      <w:pPr>
        <w:pageBreakBefore w:val="0"/>
        <w:kinsoku/>
        <w:wordWrap/>
        <w:overflowPunct/>
        <w:topLinePunct w:val="0"/>
        <w:autoSpaceDE/>
        <w:autoSpaceDN/>
        <w:bidi w:val="0"/>
        <w:adjustRightInd/>
        <w:snapToGrid/>
        <w:spacing w:line="500" w:lineRule="exact"/>
        <w:ind w:right="0"/>
        <w:textAlignment w:val="auto"/>
        <w:rPr>
          <w:rFonts w:hint="eastAsia" w:asciiTheme="minorEastAsia" w:hAnsiTheme="minorEastAsia" w:eastAsiaTheme="minorEastAsia" w:cstheme="minorEastAsia"/>
          <w:b/>
          <w:bCs w:val="0"/>
          <w:kern w:val="2"/>
          <w:sz w:val="24"/>
          <w:szCs w:val="24"/>
          <w:u w:val="none"/>
          <w:lang w:val="en-US" w:eastAsia="zh-CN" w:bidi="ar-SA"/>
        </w:rPr>
      </w:pPr>
      <w:r>
        <w:rPr>
          <w:rFonts w:hint="eastAsia" w:asciiTheme="minorEastAsia" w:hAnsiTheme="minorEastAsia" w:eastAsiaTheme="minorEastAsia" w:cstheme="minorEastAsia"/>
          <w:b/>
          <w:bCs w:val="0"/>
          <w:kern w:val="2"/>
          <w:sz w:val="24"/>
          <w:szCs w:val="24"/>
          <w:u w:val="none"/>
          <w:lang w:val="en-US" w:eastAsia="zh-CN" w:bidi="ar-SA"/>
        </w:rPr>
        <w:t>八、其它</w:t>
      </w:r>
    </w:p>
    <w:p>
      <w:pPr>
        <w:pStyle w:val="6"/>
        <w:pageBreakBefore w:val="0"/>
        <w:kinsoku/>
        <w:wordWrap/>
        <w:overflowPunct/>
        <w:topLinePunct w:val="0"/>
        <w:autoSpaceDE/>
        <w:autoSpaceDN/>
        <w:bidi w:val="0"/>
        <w:adjustRightInd/>
        <w:snapToGrid/>
        <w:spacing w:line="500" w:lineRule="exact"/>
        <w:ind w:left="0" w:leftChars="0" w:right="0" w:firstLine="480" w:firstLineChars="200"/>
        <w:textAlignment w:val="auto"/>
        <w:rPr>
          <w:rFonts w:hint="eastAsia" w:asciiTheme="minorEastAsia" w:hAnsiTheme="minorEastAsia" w:eastAsiaTheme="minorEastAsia" w:cstheme="minorEastAsia"/>
          <w:bCs/>
          <w:spacing w:val="0"/>
          <w:kern w:val="2"/>
          <w:sz w:val="24"/>
          <w:szCs w:val="24"/>
          <w:lang w:val="en-US" w:eastAsia="zh-CN" w:bidi="ar-SA"/>
        </w:rPr>
      </w:pPr>
      <w:r>
        <w:rPr>
          <w:rFonts w:hint="eastAsia" w:asciiTheme="minorEastAsia" w:hAnsiTheme="minorEastAsia" w:eastAsiaTheme="minorEastAsia" w:cstheme="minorEastAsia"/>
          <w:bCs/>
          <w:spacing w:val="0"/>
          <w:kern w:val="2"/>
          <w:sz w:val="24"/>
          <w:szCs w:val="24"/>
          <w:lang w:val="en-US" w:eastAsia="zh-CN" w:bidi="ar-SA"/>
        </w:rPr>
        <w:t>1.本合同中未尽事宜，双方协商解决。</w:t>
      </w:r>
    </w:p>
    <w:p>
      <w:pPr>
        <w:pStyle w:val="6"/>
        <w:pageBreakBefore w:val="0"/>
        <w:kinsoku/>
        <w:wordWrap/>
        <w:overflowPunct/>
        <w:topLinePunct w:val="0"/>
        <w:autoSpaceDE/>
        <w:autoSpaceDN/>
        <w:bidi w:val="0"/>
        <w:adjustRightInd/>
        <w:snapToGrid/>
        <w:spacing w:line="500" w:lineRule="exact"/>
        <w:ind w:left="0" w:leftChars="0" w:right="0" w:firstLine="480" w:firstLineChars="200"/>
        <w:textAlignment w:val="auto"/>
        <w:rPr>
          <w:rFonts w:hint="eastAsia" w:asciiTheme="minorEastAsia" w:hAnsiTheme="minorEastAsia" w:eastAsiaTheme="minorEastAsia" w:cstheme="minorEastAsia"/>
          <w:bCs/>
          <w:spacing w:val="0"/>
          <w:kern w:val="2"/>
          <w:sz w:val="24"/>
          <w:szCs w:val="24"/>
          <w:lang w:val="en-US" w:eastAsia="zh-CN" w:bidi="ar-SA"/>
        </w:rPr>
      </w:pPr>
      <w:r>
        <w:rPr>
          <w:rFonts w:hint="eastAsia" w:asciiTheme="minorEastAsia" w:hAnsiTheme="minorEastAsia" w:eastAsiaTheme="minorEastAsia" w:cstheme="minorEastAsia"/>
          <w:bCs/>
          <w:spacing w:val="0"/>
          <w:kern w:val="2"/>
          <w:sz w:val="24"/>
          <w:szCs w:val="24"/>
          <w:lang w:val="en-US" w:eastAsia="zh-CN" w:bidi="ar-SA"/>
        </w:rPr>
        <w:t>2.本合同一式四份，甲乙双方各执两份。</w:t>
      </w:r>
    </w:p>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Cs/>
          <w:sz w:val="24"/>
          <w:szCs w:val="24"/>
          <w:lang w:val="en-US" w:eastAsia="zh-CN"/>
        </w:rPr>
      </w:pPr>
    </w:p>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签约各方：</w:t>
      </w:r>
    </w:p>
    <w:tbl>
      <w:tblPr>
        <w:tblStyle w:val="8"/>
        <w:tblW w:w="0" w:type="auto"/>
        <w:tblCellSpacing w:w="7" w:type="dxa"/>
        <w:tblInd w:w="0" w:type="dxa"/>
        <w:tblLayout w:type="fixed"/>
        <w:tblCellMar>
          <w:top w:w="15" w:type="dxa"/>
          <w:left w:w="15" w:type="dxa"/>
          <w:bottom w:w="15" w:type="dxa"/>
          <w:right w:w="15" w:type="dxa"/>
        </w:tblCellMar>
      </w:tblPr>
      <w:tblGrid>
        <w:gridCol w:w="5266"/>
        <w:gridCol w:w="4486"/>
      </w:tblGrid>
      <w:tr>
        <w:tblPrEx>
          <w:tblCellMar>
            <w:top w:w="15" w:type="dxa"/>
            <w:left w:w="15" w:type="dxa"/>
            <w:bottom w:w="15" w:type="dxa"/>
            <w:right w:w="15" w:type="dxa"/>
          </w:tblCellMar>
        </w:tblPrEx>
        <w:trPr>
          <w:trHeight w:val="582" w:hRule="atLeast"/>
          <w:tblCellSpacing w:w="7" w:type="dxa"/>
        </w:trPr>
        <w:tc>
          <w:tcPr>
            <w:tcW w:w="5245" w:type="dxa"/>
            <w:tcBorders>
              <w:tl2br w:val="nil"/>
              <w:tr2bl w:val="nil"/>
            </w:tcBorders>
            <w:vAlign w:val="center"/>
          </w:tcPr>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甲方（盖章）：</w:t>
            </w:r>
          </w:p>
        </w:tc>
        <w:tc>
          <w:tcPr>
            <w:tcW w:w="4465" w:type="dxa"/>
            <w:tcBorders>
              <w:tl2br w:val="nil"/>
              <w:tr2bl w:val="nil"/>
            </w:tcBorders>
            <w:vAlign w:val="center"/>
          </w:tcPr>
          <w:p>
            <w:pPr>
              <w:pageBreakBefore w:val="0"/>
              <w:kinsoku/>
              <w:wordWrap/>
              <w:overflowPunct/>
              <w:topLinePunct w:val="0"/>
              <w:autoSpaceDE/>
              <w:autoSpaceDN/>
              <w:bidi w:val="0"/>
              <w:adjustRightInd/>
              <w:snapToGrid/>
              <w:spacing w:line="500" w:lineRule="exact"/>
              <w:ind w:right="0"/>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 xml:space="preserve">乙方（盖章）： </w:t>
            </w:r>
          </w:p>
        </w:tc>
      </w:tr>
      <w:tr>
        <w:tblPrEx>
          <w:tblCellMar>
            <w:top w:w="15" w:type="dxa"/>
            <w:left w:w="15" w:type="dxa"/>
            <w:bottom w:w="15" w:type="dxa"/>
            <w:right w:w="15" w:type="dxa"/>
          </w:tblCellMar>
        </w:tblPrEx>
        <w:trPr>
          <w:trHeight w:val="582" w:hRule="atLeast"/>
          <w:tblCellSpacing w:w="7" w:type="dxa"/>
        </w:trPr>
        <w:tc>
          <w:tcPr>
            <w:tcW w:w="5245" w:type="dxa"/>
            <w:tcBorders>
              <w:tl2br w:val="nil"/>
              <w:tr2bl w:val="nil"/>
            </w:tcBorders>
            <w:vAlign w:val="center"/>
          </w:tcPr>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法定代表人或授权委托人（签章）：</w:t>
            </w:r>
          </w:p>
        </w:tc>
        <w:tc>
          <w:tcPr>
            <w:tcW w:w="4465" w:type="dxa"/>
            <w:tcBorders>
              <w:tl2br w:val="nil"/>
              <w:tr2bl w:val="nil"/>
            </w:tcBorders>
            <w:vAlign w:val="center"/>
          </w:tcPr>
          <w:p>
            <w:pPr>
              <w:pageBreakBefore w:val="0"/>
              <w:kinsoku/>
              <w:wordWrap/>
              <w:overflowPunct/>
              <w:topLinePunct w:val="0"/>
              <w:autoSpaceDE/>
              <w:autoSpaceDN/>
              <w:bidi w:val="0"/>
              <w:adjustRightInd/>
              <w:snapToGrid/>
              <w:spacing w:line="500" w:lineRule="exact"/>
              <w:ind w:right="0"/>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法定代表人或授权委托人（签章）：</w:t>
            </w:r>
          </w:p>
        </w:tc>
      </w:tr>
      <w:tr>
        <w:tblPrEx>
          <w:tblCellMar>
            <w:top w:w="15" w:type="dxa"/>
            <w:left w:w="15" w:type="dxa"/>
            <w:bottom w:w="15" w:type="dxa"/>
            <w:right w:w="15" w:type="dxa"/>
          </w:tblCellMar>
        </w:tblPrEx>
        <w:trPr>
          <w:trHeight w:val="582" w:hRule="atLeast"/>
          <w:tblCellSpacing w:w="7" w:type="dxa"/>
        </w:trPr>
        <w:tc>
          <w:tcPr>
            <w:tcW w:w="5245" w:type="dxa"/>
            <w:tcBorders>
              <w:tl2br w:val="nil"/>
              <w:tr2bl w:val="nil"/>
            </w:tcBorders>
            <w:vAlign w:val="center"/>
          </w:tcPr>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合同签订地点：</w:t>
            </w:r>
          </w:p>
        </w:tc>
        <w:tc>
          <w:tcPr>
            <w:tcW w:w="4465" w:type="dxa"/>
            <w:tcBorders>
              <w:tl2br w:val="nil"/>
              <w:tr2bl w:val="nil"/>
            </w:tcBorders>
            <w:vAlign w:val="center"/>
          </w:tcPr>
          <w:p>
            <w:pPr>
              <w:pageBreakBefore w:val="0"/>
              <w:kinsoku/>
              <w:wordWrap/>
              <w:overflowPunct/>
              <w:topLinePunct w:val="0"/>
              <w:autoSpaceDE/>
              <w:autoSpaceDN/>
              <w:bidi w:val="0"/>
              <w:adjustRightInd/>
              <w:snapToGrid/>
              <w:spacing w:line="500" w:lineRule="exact"/>
              <w:ind w:right="0"/>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合同签订地点：</w:t>
            </w:r>
          </w:p>
        </w:tc>
      </w:tr>
      <w:tr>
        <w:tblPrEx>
          <w:tblCellMar>
            <w:top w:w="15" w:type="dxa"/>
            <w:left w:w="15" w:type="dxa"/>
            <w:bottom w:w="15" w:type="dxa"/>
            <w:right w:w="15" w:type="dxa"/>
          </w:tblCellMar>
        </w:tblPrEx>
        <w:trPr>
          <w:trHeight w:val="582" w:hRule="atLeast"/>
          <w:tblCellSpacing w:w="7" w:type="dxa"/>
        </w:trPr>
        <w:tc>
          <w:tcPr>
            <w:tcW w:w="5245" w:type="dxa"/>
            <w:tcBorders>
              <w:tl2br w:val="nil"/>
              <w:tr2bl w:val="nil"/>
            </w:tcBorders>
            <w:vAlign w:val="center"/>
          </w:tcPr>
          <w:p>
            <w:pPr>
              <w:pageBreakBefore w:val="0"/>
              <w:kinsoku/>
              <w:wordWrap/>
              <w:overflowPunct/>
              <w:topLinePunct w:val="0"/>
              <w:autoSpaceDE/>
              <w:autoSpaceDN/>
              <w:bidi w:val="0"/>
              <w:adjustRightInd/>
              <w:snapToGrid/>
              <w:spacing w:line="500" w:lineRule="exact"/>
              <w:ind w:right="0" w:firstLine="480" w:firstLineChars="200"/>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日期：</w:t>
            </w:r>
          </w:p>
        </w:tc>
        <w:tc>
          <w:tcPr>
            <w:tcW w:w="4465" w:type="dxa"/>
            <w:tcBorders>
              <w:tl2br w:val="nil"/>
              <w:tr2bl w:val="nil"/>
            </w:tcBorders>
            <w:vAlign w:val="center"/>
          </w:tcPr>
          <w:p>
            <w:pPr>
              <w:pageBreakBefore w:val="0"/>
              <w:kinsoku/>
              <w:wordWrap/>
              <w:overflowPunct/>
              <w:topLinePunct w:val="0"/>
              <w:autoSpaceDE/>
              <w:autoSpaceDN/>
              <w:bidi w:val="0"/>
              <w:adjustRightInd/>
              <w:snapToGrid/>
              <w:spacing w:line="500" w:lineRule="exact"/>
              <w:ind w:right="0"/>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日期：</w:t>
            </w:r>
          </w:p>
        </w:tc>
      </w:tr>
    </w:tbl>
    <w:p>
      <w:pPr>
        <w:pStyle w:val="2"/>
        <w:rPr>
          <w:rFonts w:hint="eastAsia"/>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等线">
    <w:altName w:val="仿宋"/>
    <w:panose1 w:val="00000000000000000000"/>
    <w:charset w:val="00"/>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CESI黑体-GB2312">
    <w:panose1 w:val="02000500000000000000"/>
    <w:charset w:val="86"/>
    <w:family w:val="auto"/>
    <w:pitch w:val="default"/>
    <w:sig w:usb0="800002BF" w:usb1="184F6CF8" w:usb2="00000012"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1745AB"/>
    <w:multiLevelType w:val="multilevel"/>
    <w:tmpl w:val="281745AB"/>
    <w:lvl w:ilvl="0" w:tentative="0">
      <w:start w:val="1"/>
      <w:numFmt w:val="decimal"/>
      <w:pStyle w:val="3"/>
      <w:lvlText w:val="%1"/>
      <w:lvlJc w:val="left"/>
      <w:pPr>
        <w:ind w:left="432" w:hanging="432"/>
      </w:pPr>
    </w:lvl>
    <w:lvl w:ilvl="1" w:tentative="0">
      <w:start w:val="1"/>
      <w:numFmt w:val="decimal"/>
      <w:lvlText w:val="%1.%2"/>
      <w:lvlJc w:val="left"/>
      <w:pPr>
        <w:ind w:left="576" w:hanging="576"/>
      </w:pPr>
    </w:lvl>
    <w:lvl w:ilvl="2" w:tentative="0">
      <w:start w:val="1"/>
      <w:numFmt w:val="decimal"/>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EC9E52"/>
    <w:rsid w:val="0FBB240B"/>
    <w:rsid w:val="1DEEFAAD"/>
    <w:rsid w:val="1FE518BE"/>
    <w:rsid w:val="1FFD2E51"/>
    <w:rsid w:val="24F90CBF"/>
    <w:rsid w:val="27E3E065"/>
    <w:rsid w:val="2AFCCF43"/>
    <w:rsid w:val="2DBF7867"/>
    <w:rsid w:val="35EC9E52"/>
    <w:rsid w:val="37FFAA3B"/>
    <w:rsid w:val="3DFCCCF0"/>
    <w:rsid w:val="3EFD2EDE"/>
    <w:rsid w:val="3FF9B3FC"/>
    <w:rsid w:val="4EAF111E"/>
    <w:rsid w:val="4F4E5EB0"/>
    <w:rsid w:val="4FD98B59"/>
    <w:rsid w:val="53D879B6"/>
    <w:rsid w:val="564370E9"/>
    <w:rsid w:val="57DFEB9A"/>
    <w:rsid w:val="5EAE06EE"/>
    <w:rsid w:val="5EFD5D8D"/>
    <w:rsid w:val="5F6F27B1"/>
    <w:rsid w:val="5FD14538"/>
    <w:rsid w:val="5FE711C6"/>
    <w:rsid w:val="5FFF4AC9"/>
    <w:rsid w:val="637F7423"/>
    <w:rsid w:val="6ABF7784"/>
    <w:rsid w:val="6DF7887E"/>
    <w:rsid w:val="6EF95A13"/>
    <w:rsid w:val="6F77F9C5"/>
    <w:rsid w:val="6FEE20A2"/>
    <w:rsid w:val="70F75953"/>
    <w:rsid w:val="7118ED58"/>
    <w:rsid w:val="714E8EE9"/>
    <w:rsid w:val="73FDFBD0"/>
    <w:rsid w:val="73FFF5BE"/>
    <w:rsid w:val="76BBB7F7"/>
    <w:rsid w:val="76EF1056"/>
    <w:rsid w:val="77351847"/>
    <w:rsid w:val="778D6B04"/>
    <w:rsid w:val="7BBDBA79"/>
    <w:rsid w:val="7C776169"/>
    <w:rsid w:val="7DE3338F"/>
    <w:rsid w:val="7DFB0C7B"/>
    <w:rsid w:val="7DFF39A2"/>
    <w:rsid w:val="7E228319"/>
    <w:rsid w:val="7E57CDA3"/>
    <w:rsid w:val="7E6F70A7"/>
    <w:rsid w:val="7EDDB939"/>
    <w:rsid w:val="7EFF4AC4"/>
    <w:rsid w:val="7F2CE5EE"/>
    <w:rsid w:val="7F398899"/>
    <w:rsid w:val="7F6BA884"/>
    <w:rsid w:val="7F9E1499"/>
    <w:rsid w:val="7FAD5E98"/>
    <w:rsid w:val="7FAD9C9F"/>
    <w:rsid w:val="7FBF2CBB"/>
    <w:rsid w:val="7FFF0FB7"/>
    <w:rsid w:val="7FFF98A6"/>
    <w:rsid w:val="7FFFD777"/>
    <w:rsid w:val="9AFF9EFE"/>
    <w:rsid w:val="A3FBF7D0"/>
    <w:rsid w:val="AF373987"/>
    <w:rsid w:val="AFBFBE67"/>
    <w:rsid w:val="B97F49E5"/>
    <w:rsid w:val="BAEBC49A"/>
    <w:rsid w:val="BCDA7C79"/>
    <w:rsid w:val="BDF39AFD"/>
    <w:rsid w:val="BF238497"/>
    <w:rsid w:val="BFBBB8F5"/>
    <w:rsid w:val="BFDF7246"/>
    <w:rsid w:val="BFF7A44E"/>
    <w:rsid w:val="C7BE94BD"/>
    <w:rsid w:val="CDD777AC"/>
    <w:rsid w:val="CF7EDA2C"/>
    <w:rsid w:val="D37F3E12"/>
    <w:rsid w:val="D521F8A9"/>
    <w:rsid w:val="D85B462B"/>
    <w:rsid w:val="DBB74A36"/>
    <w:rsid w:val="DBF35F33"/>
    <w:rsid w:val="DC7B7238"/>
    <w:rsid w:val="DDF436EC"/>
    <w:rsid w:val="DFF735CA"/>
    <w:rsid w:val="DFFCC85D"/>
    <w:rsid w:val="E0FFF586"/>
    <w:rsid w:val="E3F9CB61"/>
    <w:rsid w:val="E6DFE2FF"/>
    <w:rsid w:val="EBBF8560"/>
    <w:rsid w:val="EBEAF180"/>
    <w:rsid w:val="EBFF0A53"/>
    <w:rsid w:val="EBFF4D07"/>
    <w:rsid w:val="EEBFEB42"/>
    <w:rsid w:val="EEE7FCDB"/>
    <w:rsid w:val="EF26042E"/>
    <w:rsid w:val="EF377ADE"/>
    <w:rsid w:val="EF9710C6"/>
    <w:rsid w:val="EFF959FE"/>
    <w:rsid w:val="F3A6265E"/>
    <w:rsid w:val="F3BDA48B"/>
    <w:rsid w:val="F3D6C567"/>
    <w:rsid w:val="F5FF1096"/>
    <w:rsid w:val="F7F724A1"/>
    <w:rsid w:val="F7FE3582"/>
    <w:rsid w:val="F8D3754A"/>
    <w:rsid w:val="FA5F32C9"/>
    <w:rsid w:val="FAFF72DD"/>
    <w:rsid w:val="FB6EB56E"/>
    <w:rsid w:val="FB7D38F6"/>
    <w:rsid w:val="FCBCF59B"/>
    <w:rsid w:val="FDAF5D2B"/>
    <w:rsid w:val="FDFB9EF6"/>
    <w:rsid w:val="FECF072C"/>
    <w:rsid w:val="FEFFD458"/>
    <w:rsid w:val="FF7ECA56"/>
    <w:rsid w:val="FFCF6E57"/>
    <w:rsid w:val="FFCFDAE0"/>
    <w:rsid w:val="FFDF1CE5"/>
    <w:rsid w:val="FFE939E8"/>
    <w:rsid w:val="FFEDED57"/>
    <w:rsid w:val="FFF61689"/>
    <w:rsid w:val="FFFACDD9"/>
    <w:rsid w:val="FFFB67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宋体"/>
      <w:kern w:val="2"/>
      <w:sz w:val="21"/>
      <w:szCs w:val="22"/>
      <w:lang w:val="en-US" w:eastAsia="zh-CN" w:bidi="ar-SA"/>
    </w:rPr>
  </w:style>
  <w:style w:type="paragraph" w:styleId="3">
    <w:name w:val="heading 1"/>
    <w:basedOn w:val="1"/>
    <w:next w:val="1"/>
    <w:qFormat/>
    <w:uiPriority w:val="9"/>
    <w:pPr>
      <w:keepNext/>
      <w:keepLines/>
      <w:numPr>
        <w:ilvl w:val="0"/>
        <w:numId w:val="1"/>
      </w:numPr>
      <w:spacing w:before="120" w:line="360" w:lineRule="auto"/>
      <w:outlineLvl w:val="0"/>
    </w:pPr>
    <w:rPr>
      <w:rFonts w:eastAsia="宋体"/>
      <w:b/>
      <w:bCs/>
      <w:kern w:val="44"/>
      <w:sz w:val="30"/>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99"/>
    <w:pPr>
      <w:ind w:left="480" w:hanging="480" w:hangingChars="200"/>
    </w:pPr>
  </w:style>
  <w:style w:type="paragraph" w:styleId="5">
    <w:name w:val="Normal Indent"/>
    <w:basedOn w:val="1"/>
    <w:qFormat/>
    <w:uiPriority w:val="0"/>
    <w:pPr>
      <w:adjustRightInd w:val="0"/>
      <w:spacing w:line="360" w:lineRule="atLeast"/>
      <w:ind w:firstLine="482"/>
      <w:textAlignment w:val="baseline"/>
    </w:pPr>
    <w:rPr>
      <w:rFonts w:ascii="Times New Roman" w:hAnsi="Times New Roman" w:eastAsia="宋体" w:cs="Times New Roman"/>
      <w:kern w:val="0"/>
      <w:sz w:val="24"/>
      <w:szCs w:val="20"/>
      <w:lang w:val="zh-CN" w:eastAsia="zh-CN"/>
    </w:rPr>
  </w:style>
  <w:style w:type="paragraph" w:styleId="6">
    <w:name w:val="Block Text"/>
    <w:basedOn w:val="1"/>
    <w:qFormat/>
    <w:uiPriority w:val="0"/>
    <w:pPr>
      <w:adjustRightInd/>
      <w:spacing w:line="440" w:lineRule="exact"/>
      <w:ind w:left="180" w:right="201" w:firstLine="100"/>
      <w:textAlignment w:val="auto"/>
    </w:pPr>
    <w:rPr>
      <w:spacing w:val="20"/>
      <w:sz w:val="24"/>
    </w:rPr>
  </w:style>
  <w:style w:type="paragraph" w:styleId="7">
    <w:name w:val="Normal (Web)"/>
    <w:basedOn w:val="1"/>
    <w:qFormat/>
    <w:uiPriority w:val="0"/>
    <w:rPr>
      <w:sz w:val="24"/>
    </w:rPr>
  </w:style>
  <w:style w:type="paragraph" w:customStyle="1" w:styleId="10">
    <w:name w:val="flName"/>
    <w:basedOn w:val="1"/>
    <w:qFormat/>
    <w:uiPriority w:val="0"/>
    <w:pPr>
      <w:adjustRightInd w:val="0"/>
      <w:spacing w:before="320" w:after="160" w:line="360" w:lineRule="atLeast"/>
      <w:jc w:val="center"/>
      <w:textAlignment w:val="baseline"/>
    </w:pPr>
    <w:rPr>
      <w:rFonts w:ascii="Arial" w:hAnsi="Times New Roman" w:eastAsia="黑体" w:cs="Times New Roman"/>
      <w:kern w:val="0"/>
      <w:sz w:val="32"/>
      <w:szCs w:val="20"/>
      <w:lang w:val="zh-CN"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4</TotalTime>
  <ScaleCrop>false</ScaleCrop>
  <LinksUpToDate>false</LinksUpToDate>
  <CharactersWithSpaces>0</CharactersWithSpaces>
  <Application>WPS Office_11.8.2.11717_F1E327BC-269C-435d-A152-05C5408002CA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2026-08-08T14:52:00Z</dcterms:created>
  <dc:creator>uos</dc:creator>
  <cp:lastModifiedBy>user</cp:lastModifiedBy>
  <dcterms:modified xsi:type="dcterms:W3CDTF">2026-09-23T14:56:44Z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2052-11.8.2.11717</vt:lpwstr>
  </property>
  <property fmtid="{D5CDD505-2E9C-101B-9397-08002B2CF9AE}" pid="3" name="ICV">
    <vt:lpwstr>A27BC198EFC374782C78B36A3F9BDE4B</vt:lpwstr>
  </property>
</Properties>
</file>